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B5EB0" w14:textId="3E069D98" w:rsidR="0005703C" w:rsidRPr="00181BE4" w:rsidRDefault="0005703C" w:rsidP="00181BE4">
      <w:pPr>
        <w:jc w:val="center"/>
        <w:rPr>
          <w:rFonts w:ascii="Times New Roman" w:hAnsi="Times New Roman" w:cs="Times New Roman"/>
          <w:b/>
          <w:bCs/>
          <w:i/>
          <w:iCs/>
          <w:sz w:val="36"/>
          <w:szCs w:val="36"/>
        </w:rPr>
      </w:pPr>
      <w:bookmarkStart w:id="0" w:name="_GoBack"/>
      <w:bookmarkEnd w:id="0"/>
      <w:r w:rsidRPr="0005703C">
        <w:rPr>
          <w:rFonts w:ascii="Times New Roman" w:hAnsi="Times New Roman" w:cs="Times New Roman"/>
          <w:b/>
          <w:bCs/>
          <w:i/>
          <w:iCs/>
          <w:sz w:val="36"/>
          <w:szCs w:val="36"/>
        </w:rPr>
        <w:t>La politica agricola comune</w:t>
      </w:r>
    </w:p>
    <w:p w14:paraId="0B60E511" w14:textId="0780EB9B" w:rsidR="00FB5C0B" w:rsidRPr="00FB5C0B" w:rsidRDefault="00FB5C0B" w:rsidP="00FB5C0B">
      <w:pPr>
        <w:jc w:val="both"/>
        <w:rPr>
          <w:rFonts w:ascii="Times New Roman" w:hAnsi="Times New Roman" w:cs="Times New Roman"/>
          <w:u w:val="single"/>
        </w:rPr>
      </w:pPr>
      <w:r w:rsidRPr="00FB5C0B">
        <w:rPr>
          <w:rFonts w:ascii="Times New Roman" w:hAnsi="Times New Roman" w:cs="Times New Roman"/>
          <w:u w:val="single"/>
        </w:rPr>
        <w:t>Introduzione</w:t>
      </w:r>
    </w:p>
    <w:p w14:paraId="233A6512" w14:textId="1BA45BC2" w:rsidR="00FB5C0B" w:rsidRPr="0087500E" w:rsidRDefault="00FB5C0B" w:rsidP="00FB5C0B">
      <w:pPr>
        <w:jc w:val="both"/>
        <w:rPr>
          <w:rFonts w:ascii="Times New Roman" w:hAnsi="Times New Roman" w:cs="Times New Roman"/>
        </w:rPr>
      </w:pPr>
      <w:r w:rsidRPr="0087500E">
        <w:rPr>
          <w:rFonts w:ascii="Times New Roman" w:hAnsi="Times New Roman" w:cs="Times New Roman"/>
        </w:rPr>
        <w:t xml:space="preserve">Nel 1957 il Trattato di Roma sancisce la creazione della Comunità economica europea (CEE) e nel 1962 nasce la prima politica di integrazione europea (PAC). La Politica Agricola Comune (PAC), rappresenta il principale strumento di indirizzo politico e di gestione finanziaria in materia di agricoltura. </w:t>
      </w:r>
    </w:p>
    <w:p w14:paraId="12443BBC" w14:textId="77777777" w:rsidR="00FB5C0B" w:rsidRPr="0087500E" w:rsidRDefault="00FB5C0B" w:rsidP="00FB5C0B">
      <w:pPr>
        <w:jc w:val="center"/>
        <w:rPr>
          <w:rFonts w:ascii="Times New Roman" w:hAnsi="Times New Roman" w:cs="Times New Roman"/>
        </w:rPr>
      </w:pPr>
      <w:r w:rsidRPr="0087500E">
        <w:rPr>
          <w:rFonts w:ascii="Times New Roman" w:hAnsi="Times New Roman" w:cs="Times New Roman"/>
        </w:rPr>
        <w:t>Il Trattato di Roma prevede una politica agricola comune per:</w:t>
      </w:r>
    </w:p>
    <w:p w14:paraId="5EB446C1" w14:textId="77777777" w:rsidR="00FB5C0B" w:rsidRPr="00E90FA0" w:rsidRDefault="00FB5C0B" w:rsidP="00FB5C0B">
      <w:pPr>
        <w:pStyle w:val="Paragrafoelenco"/>
        <w:numPr>
          <w:ilvl w:val="0"/>
          <w:numId w:val="1"/>
        </w:numPr>
        <w:jc w:val="both"/>
        <w:rPr>
          <w:rFonts w:ascii="Times New Roman" w:hAnsi="Times New Roman" w:cs="Times New Roman"/>
        </w:rPr>
      </w:pPr>
      <w:r w:rsidRPr="00E90FA0">
        <w:rPr>
          <w:rFonts w:ascii="Times New Roman" w:hAnsi="Times New Roman" w:cs="Times New Roman"/>
        </w:rPr>
        <w:t>riconoscere un prezzo minimo alle derrate agricole e alimentari</w:t>
      </w:r>
    </w:p>
    <w:p w14:paraId="450B4170" w14:textId="77777777" w:rsidR="00FB5C0B" w:rsidRPr="0087500E" w:rsidRDefault="00FB5C0B" w:rsidP="00FB5C0B">
      <w:pPr>
        <w:numPr>
          <w:ilvl w:val="0"/>
          <w:numId w:val="1"/>
        </w:numPr>
        <w:jc w:val="both"/>
        <w:rPr>
          <w:rFonts w:ascii="Times New Roman" w:hAnsi="Times New Roman" w:cs="Times New Roman"/>
        </w:rPr>
      </w:pPr>
      <w:r w:rsidRPr="0087500E">
        <w:rPr>
          <w:rFonts w:ascii="Times New Roman" w:hAnsi="Times New Roman" w:cs="Times New Roman"/>
        </w:rPr>
        <w:t>orientare gli agricoltori verso una maggiore capacità produttiva</w:t>
      </w:r>
    </w:p>
    <w:p w14:paraId="5BDA5208" w14:textId="77777777" w:rsidR="00FB5C0B" w:rsidRPr="0087500E" w:rsidRDefault="00FB5C0B" w:rsidP="00FB5C0B">
      <w:pPr>
        <w:numPr>
          <w:ilvl w:val="0"/>
          <w:numId w:val="1"/>
        </w:numPr>
        <w:jc w:val="both"/>
        <w:rPr>
          <w:rFonts w:ascii="Times New Roman" w:hAnsi="Times New Roman" w:cs="Times New Roman"/>
        </w:rPr>
      </w:pPr>
      <w:r w:rsidRPr="0087500E">
        <w:rPr>
          <w:rFonts w:ascii="Times New Roman" w:hAnsi="Times New Roman" w:cs="Times New Roman"/>
        </w:rPr>
        <w:t xml:space="preserve">un’organizzazione comune dei mercati agricoli.  </w:t>
      </w:r>
    </w:p>
    <w:p w14:paraId="6189EFC5" w14:textId="77777777" w:rsidR="00FB5C0B" w:rsidRPr="0087500E" w:rsidRDefault="00FB5C0B" w:rsidP="00FB5C0B">
      <w:pPr>
        <w:jc w:val="both"/>
        <w:rPr>
          <w:rFonts w:ascii="Times New Roman" w:hAnsi="Times New Roman" w:cs="Times New Roman"/>
        </w:rPr>
      </w:pPr>
      <w:r w:rsidRPr="0087500E">
        <w:rPr>
          <w:rFonts w:ascii="Times New Roman" w:hAnsi="Times New Roman" w:cs="Times New Roman"/>
        </w:rPr>
        <w:t>Nel tempo, le esigenze della società e del mercato sono mutate e, di conseguenza, anche lo scopo della PAC cambia.</w:t>
      </w:r>
      <w:r>
        <w:rPr>
          <w:rFonts w:ascii="Times New Roman" w:hAnsi="Times New Roman" w:cs="Times New Roman"/>
        </w:rPr>
        <w:t xml:space="preserve"> </w:t>
      </w:r>
      <w:r w:rsidRPr="0087500E">
        <w:rPr>
          <w:rFonts w:ascii="Times New Roman" w:hAnsi="Times New Roman" w:cs="Times New Roman"/>
        </w:rPr>
        <w:t>La forza della PAC, infatti, va al di là dell’</w:t>
      </w:r>
      <w:r>
        <w:rPr>
          <w:rFonts w:ascii="Times New Roman" w:hAnsi="Times New Roman" w:cs="Times New Roman"/>
        </w:rPr>
        <w:t>a</w:t>
      </w:r>
      <w:r w:rsidRPr="0087500E">
        <w:rPr>
          <w:rFonts w:ascii="Times New Roman" w:hAnsi="Times New Roman" w:cs="Times New Roman"/>
        </w:rPr>
        <w:t>gricoltura, poiché coinvolge diversi settori correlati: salubrità e qualità degli alimenti, cura del paesaggio e salvaguardia dell’ambiente, tutela delle comunità, ecc.</w:t>
      </w:r>
    </w:p>
    <w:p w14:paraId="03C043DE" w14:textId="77777777" w:rsidR="00FB5C0B" w:rsidRDefault="00FB5C0B" w:rsidP="00FB5C0B">
      <w:pPr>
        <w:jc w:val="both"/>
        <w:rPr>
          <w:rFonts w:ascii="Times New Roman" w:hAnsi="Times New Roman" w:cs="Times New Roman"/>
        </w:rPr>
      </w:pPr>
      <w:r w:rsidRPr="0087500E">
        <w:rPr>
          <w:rFonts w:ascii="Times New Roman" w:hAnsi="Times New Roman" w:cs="Times New Roman"/>
        </w:rPr>
        <w:t>Infatti, nel corso degli anni, la PAC ha subìto numerose riforme per adattarsi alle mutevoli sfide del settore agricolo e alimentare, tra cui: nel 1970, la modernizzazione degli allevamenti; nel 1980, l’adeguamento della produzione in base alle esigenze del mercato; nel 1992, il passaggio dal sostegno al mercato al sostegno ai produttori; nel 2008, l’introduzione della valutazione dello stato di salute; e nel 2013, una riforma che ha riguardato il periodo di programmazione 2014-2020, con l’introduzione del principio di “</w:t>
      </w:r>
      <w:proofErr w:type="spellStart"/>
      <w:r w:rsidRPr="0087500E">
        <w:rPr>
          <w:rFonts w:ascii="Times New Roman" w:hAnsi="Times New Roman" w:cs="Times New Roman"/>
        </w:rPr>
        <w:t>ecosostenibilità</w:t>
      </w:r>
      <w:proofErr w:type="spellEnd"/>
      <w:r w:rsidRPr="0087500E">
        <w:rPr>
          <w:rFonts w:ascii="Times New Roman" w:hAnsi="Times New Roman" w:cs="Times New Roman"/>
        </w:rPr>
        <w:t>” dei pagamenti per le aziende, una maggiore equità nella distribuzione del sostegno agli agricoltori e un sostegno specifico per gli agricoltori maggiormente in difficoltà.</w:t>
      </w:r>
    </w:p>
    <w:p w14:paraId="01F85353" w14:textId="77777777" w:rsidR="00FB5C0B" w:rsidRPr="0087500E" w:rsidRDefault="00FB5C0B" w:rsidP="00FB5C0B">
      <w:pPr>
        <w:jc w:val="center"/>
        <w:rPr>
          <w:rFonts w:ascii="Times New Roman" w:hAnsi="Times New Roman" w:cs="Times New Roman"/>
        </w:rPr>
      </w:pPr>
      <w:r>
        <w:rPr>
          <w:rFonts w:ascii="Times New Roman" w:hAnsi="Times New Roman" w:cs="Times New Roman"/>
        </w:rPr>
        <w:t>Nel dettaglio:</w:t>
      </w:r>
    </w:p>
    <w:p w14:paraId="2EA1490E" w14:textId="77777777" w:rsidR="00FB5C0B" w:rsidRPr="00412D0E" w:rsidRDefault="00FB5C0B" w:rsidP="00FB5C0B">
      <w:pPr>
        <w:jc w:val="both"/>
        <w:rPr>
          <w:rFonts w:ascii="Times New Roman" w:hAnsi="Times New Roman" w:cs="Times New Roman"/>
          <w:i/>
          <w:iCs/>
        </w:rPr>
      </w:pPr>
      <w:r w:rsidRPr="0087500E">
        <w:rPr>
          <w:rFonts w:ascii="Times New Roman" w:hAnsi="Times New Roman" w:cs="Times New Roman"/>
        </w:rPr>
        <w:t xml:space="preserve">I punti principali della riforma </w:t>
      </w:r>
      <w:r w:rsidRPr="00412D0E">
        <w:rPr>
          <w:rFonts w:ascii="Times New Roman" w:hAnsi="Times New Roman" w:cs="Times New Roman"/>
          <w:i/>
          <w:iCs/>
        </w:rPr>
        <w:t>MAC SHARRY</w:t>
      </w:r>
      <w:r w:rsidRPr="0087500E">
        <w:rPr>
          <w:rFonts w:ascii="Times New Roman" w:hAnsi="Times New Roman" w:cs="Times New Roman"/>
        </w:rPr>
        <w:t xml:space="preserve"> sono: </w:t>
      </w:r>
      <w:r>
        <w:rPr>
          <w:rFonts w:ascii="Times New Roman" w:hAnsi="Times New Roman" w:cs="Times New Roman"/>
        </w:rPr>
        <w:t xml:space="preserve">la </w:t>
      </w:r>
      <w:r w:rsidRPr="0087500E">
        <w:rPr>
          <w:rFonts w:ascii="Times New Roman" w:hAnsi="Times New Roman" w:cs="Times New Roman"/>
        </w:rPr>
        <w:t xml:space="preserve">riduzione dei prezzi agricoli garantiti, </w:t>
      </w:r>
      <w:r>
        <w:rPr>
          <w:rFonts w:ascii="Times New Roman" w:hAnsi="Times New Roman" w:cs="Times New Roman"/>
        </w:rPr>
        <w:t xml:space="preserve">la </w:t>
      </w:r>
      <w:r w:rsidRPr="0087500E">
        <w:rPr>
          <w:rFonts w:ascii="Times New Roman" w:hAnsi="Times New Roman" w:cs="Times New Roman"/>
        </w:rPr>
        <w:t>compensazione degli agricoltori con pagamenti per ettar</w:t>
      </w:r>
      <w:r>
        <w:rPr>
          <w:rFonts w:ascii="Times New Roman" w:hAnsi="Times New Roman" w:cs="Times New Roman"/>
        </w:rPr>
        <w:t>o</w:t>
      </w:r>
      <w:r w:rsidRPr="0087500E">
        <w:rPr>
          <w:rFonts w:ascii="Times New Roman" w:hAnsi="Times New Roman" w:cs="Times New Roman"/>
        </w:rPr>
        <w:t xml:space="preserve"> e </w:t>
      </w:r>
      <w:r>
        <w:rPr>
          <w:rFonts w:ascii="Times New Roman" w:hAnsi="Times New Roman" w:cs="Times New Roman"/>
        </w:rPr>
        <w:t xml:space="preserve">il </w:t>
      </w:r>
      <w:r w:rsidRPr="0087500E">
        <w:rPr>
          <w:rFonts w:ascii="Times New Roman" w:hAnsi="Times New Roman" w:cs="Times New Roman"/>
        </w:rPr>
        <w:t>sostegno agli agricoltori che rispettano l’ambiente. Si inizia, infatti, ad affermarsi l’importanza della sostenibilità della produzione agricola.</w:t>
      </w:r>
    </w:p>
    <w:p w14:paraId="7C7C76E0" w14:textId="77777777" w:rsidR="00FB5C0B" w:rsidRPr="0087500E" w:rsidRDefault="00FB5C0B" w:rsidP="00FB5C0B">
      <w:pPr>
        <w:jc w:val="both"/>
        <w:rPr>
          <w:rFonts w:ascii="Times New Roman" w:hAnsi="Times New Roman" w:cs="Times New Roman"/>
        </w:rPr>
      </w:pPr>
      <w:r w:rsidRPr="0087500E">
        <w:rPr>
          <w:rFonts w:ascii="Times New Roman" w:hAnsi="Times New Roman" w:cs="Times New Roman"/>
        </w:rPr>
        <w:t xml:space="preserve">Rimangono aperte, però, le seguenti questioni: </w:t>
      </w:r>
      <w:r>
        <w:rPr>
          <w:rFonts w:ascii="Times New Roman" w:hAnsi="Times New Roman" w:cs="Times New Roman"/>
        </w:rPr>
        <w:t>i</w:t>
      </w:r>
      <w:r w:rsidRPr="0087500E">
        <w:rPr>
          <w:rFonts w:ascii="Times New Roman" w:hAnsi="Times New Roman" w:cs="Times New Roman"/>
        </w:rPr>
        <w:t xml:space="preserve">nsostenibilità finanziaria della PAC e la </w:t>
      </w:r>
      <w:r>
        <w:rPr>
          <w:rFonts w:ascii="Times New Roman" w:hAnsi="Times New Roman" w:cs="Times New Roman"/>
        </w:rPr>
        <w:t>m</w:t>
      </w:r>
      <w:r w:rsidRPr="0087500E">
        <w:rPr>
          <w:rFonts w:ascii="Times New Roman" w:hAnsi="Times New Roman" w:cs="Times New Roman"/>
        </w:rPr>
        <w:t>ancanza di equilibrio tra il sostegno al mercato e le misure per l’ambiente.</w:t>
      </w:r>
    </w:p>
    <w:p w14:paraId="4DE96995" w14:textId="77777777" w:rsidR="00FB5C0B" w:rsidRPr="0087500E" w:rsidRDefault="00FB5C0B" w:rsidP="00FB5C0B">
      <w:pPr>
        <w:jc w:val="both"/>
        <w:rPr>
          <w:rFonts w:ascii="Times New Roman" w:hAnsi="Times New Roman" w:cs="Times New Roman"/>
        </w:rPr>
      </w:pPr>
      <w:r>
        <w:rPr>
          <w:rFonts w:ascii="Times New Roman" w:hAnsi="Times New Roman" w:cs="Times New Roman"/>
        </w:rPr>
        <w:t>La riforma</w:t>
      </w:r>
      <w:r w:rsidRPr="0087500E">
        <w:rPr>
          <w:rFonts w:ascii="Times New Roman" w:hAnsi="Times New Roman" w:cs="Times New Roman"/>
        </w:rPr>
        <w:t xml:space="preserve"> </w:t>
      </w:r>
      <w:r w:rsidRPr="00412D0E">
        <w:rPr>
          <w:rFonts w:ascii="Times New Roman" w:hAnsi="Times New Roman" w:cs="Times New Roman"/>
          <w:i/>
          <w:iCs/>
        </w:rPr>
        <w:t>FISCHLER</w:t>
      </w:r>
      <w:r w:rsidRPr="0087500E">
        <w:rPr>
          <w:rFonts w:ascii="Times New Roman" w:hAnsi="Times New Roman" w:cs="Times New Roman"/>
        </w:rPr>
        <w:t xml:space="preserve"> rappresenta un punto di svolta in quanto vengono introdotte delle novità come</w:t>
      </w:r>
      <w:r>
        <w:rPr>
          <w:rFonts w:ascii="Times New Roman" w:hAnsi="Times New Roman" w:cs="Times New Roman"/>
        </w:rPr>
        <w:t xml:space="preserve"> il d</w:t>
      </w:r>
      <w:r w:rsidRPr="0087500E">
        <w:rPr>
          <w:rFonts w:ascii="Times New Roman" w:hAnsi="Times New Roman" w:cs="Times New Roman"/>
        </w:rPr>
        <w:t>isaccoppiamento degli aiuti</w:t>
      </w:r>
      <w:r>
        <w:rPr>
          <w:rFonts w:ascii="Times New Roman" w:hAnsi="Times New Roman" w:cs="Times New Roman"/>
        </w:rPr>
        <w:t xml:space="preserve"> (</w:t>
      </w:r>
      <w:r w:rsidRPr="0087500E">
        <w:rPr>
          <w:rFonts w:ascii="Times New Roman" w:hAnsi="Times New Roman" w:cs="Times New Roman"/>
        </w:rPr>
        <w:t>i finanziamenti PAC sono indipendenti dalle quantità prodotte e legati al numero di ettari coltivati</w:t>
      </w:r>
      <w:r>
        <w:rPr>
          <w:rFonts w:ascii="Times New Roman" w:hAnsi="Times New Roman" w:cs="Times New Roman"/>
        </w:rPr>
        <w:t>), il legame tra l’</w:t>
      </w:r>
      <w:r w:rsidRPr="0087500E">
        <w:rPr>
          <w:rFonts w:ascii="Times New Roman" w:hAnsi="Times New Roman" w:cs="Times New Roman"/>
        </w:rPr>
        <w:t>erogazione dei pagamenti diretti</w:t>
      </w:r>
      <w:r>
        <w:rPr>
          <w:rFonts w:ascii="Times New Roman" w:hAnsi="Times New Roman" w:cs="Times New Roman"/>
        </w:rPr>
        <w:t xml:space="preserve"> e il rispetto del</w:t>
      </w:r>
      <w:r w:rsidRPr="0087500E">
        <w:rPr>
          <w:rFonts w:ascii="Times New Roman" w:hAnsi="Times New Roman" w:cs="Times New Roman"/>
        </w:rPr>
        <w:t xml:space="preserve">la “condizionalità”, cioè </w:t>
      </w:r>
      <w:r>
        <w:rPr>
          <w:rFonts w:ascii="Times New Roman" w:hAnsi="Times New Roman" w:cs="Times New Roman"/>
        </w:rPr>
        <w:t>de</w:t>
      </w:r>
      <w:r w:rsidRPr="0087500E">
        <w:rPr>
          <w:rFonts w:ascii="Times New Roman" w:hAnsi="Times New Roman" w:cs="Times New Roman"/>
        </w:rPr>
        <w:t>ll’osservanza di vincoli finalizzati alla tutela ambientale, alla sicurezza alimentare, al benessere animale e al mantenimento dei terreni in buone condizioni</w:t>
      </w:r>
      <w:r>
        <w:rPr>
          <w:rFonts w:ascii="Times New Roman" w:hAnsi="Times New Roman" w:cs="Times New Roman"/>
        </w:rPr>
        <w:t xml:space="preserve">. Infine, la </w:t>
      </w:r>
      <w:r w:rsidRPr="0087500E">
        <w:rPr>
          <w:rFonts w:ascii="Times New Roman" w:hAnsi="Times New Roman" w:cs="Times New Roman"/>
        </w:rPr>
        <w:t xml:space="preserve">Politica di Sviluppo Rurale diviene una parte importante della PAC.  </w:t>
      </w:r>
    </w:p>
    <w:p w14:paraId="0E845CDD" w14:textId="77777777" w:rsidR="00FB5C0B" w:rsidRPr="0087500E" w:rsidRDefault="00FB5C0B" w:rsidP="00FB5C0B">
      <w:pPr>
        <w:jc w:val="both"/>
        <w:rPr>
          <w:rFonts w:ascii="Times New Roman" w:hAnsi="Times New Roman" w:cs="Times New Roman"/>
        </w:rPr>
      </w:pPr>
      <w:r w:rsidRPr="0087500E">
        <w:rPr>
          <w:rFonts w:ascii="Times New Roman" w:hAnsi="Times New Roman" w:cs="Times New Roman"/>
        </w:rPr>
        <w:t xml:space="preserve">Nel </w:t>
      </w:r>
      <w:r w:rsidRPr="001717BC">
        <w:rPr>
          <w:rFonts w:ascii="Times New Roman" w:hAnsi="Times New Roman" w:cs="Times New Roman"/>
          <w:i/>
          <w:iCs/>
        </w:rPr>
        <w:t>2013</w:t>
      </w:r>
      <w:r>
        <w:rPr>
          <w:rFonts w:ascii="Times New Roman" w:hAnsi="Times New Roman" w:cs="Times New Roman"/>
        </w:rPr>
        <w:t>,</w:t>
      </w:r>
      <w:r w:rsidRPr="0087500E">
        <w:rPr>
          <w:rFonts w:ascii="Times New Roman" w:hAnsi="Times New Roman" w:cs="Times New Roman"/>
        </w:rPr>
        <w:t xml:space="preserve"> la P</w:t>
      </w:r>
      <w:r>
        <w:rPr>
          <w:rFonts w:ascii="Times New Roman" w:hAnsi="Times New Roman" w:cs="Times New Roman"/>
        </w:rPr>
        <w:t>olitica agricola comune</w:t>
      </w:r>
      <w:r w:rsidRPr="0087500E">
        <w:rPr>
          <w:rFonts w:ascii="Times New Roman" w:hAnsi="Times New Roman" w:cs="Times New Roman"/>
        </w:rPr>
        <w:t xml:space="preserve"> è stata oggetto di un’altra importante riforma</w:t>
      </w:r>
      <w:r>
        <w:rPr>
          <w:rFonts w:ascii="Times New Roman" w:hAnsi="Times New Roman" w:cs="Times New Roman"/>
        </w:rPr>
        <w:t>: a</w:t>
      </w:r>
      <w:r w:rsidRPr="0087500E">
        <w:rPr>
          <w:rFonts w:ascii="Times New Roman" w:hAnsi="Times New Roman" w:cs="Times New Roman"/>
        </w:rPr>
        <w:t>nche se l’obiettivo principale di questa riforma era quello di rispondere alle nuove sfide del settore agricolo, la PAC è stata adattata per rafforzare il suo contributo al raggiungimento degli obiettivi della strategia Europa 2020 attraverso la promozione di una crescita intelligente, sostenibile e inclusiva. </w:t>
      </w:r>
    </w:p>
    <w:p w14:paraId="06EB34B3" w14:textId="77777777" w:rsidR="00FB5C0B" w:rsidRPr="0087500E" w:rsidRDefault="00FB5C0B" w:rsidP="00FB5C0B">
      <w:pPr>
        <w:jc w:val="both"/>
        <w:rPr>
          <w:rFonts w:ascii="Times New Roman" w:hAnsi="Times New Roman" w:cs="Times New Roman"/>
        </w:rPr>
      </w:pPr>
      <w:r>
        <w:rPr>
          <w:rFonts w:ascii="Times New Roman" w:hAnsi="Times New Roman" w:cs="Times New Roman"/>
        </w:rPr>
        <w:t>La PAC attualmente in vigore è stata</w:t>
      </w:r>
      <w:r w:rsidRPr="0087500E">
        <w:rPr>
          <w:rFonts w:ascii="Times New Roman" w:hAnsi="Times New Roman" w:cs="Times New Roman"/>
        </w:rPr>
        <w:t xml:space="preserve"> la prima </w:t>
      </w:r>
      <w:r>
        <w:rPr>
          <w:rFonts w:ascii="Times New Roman" w:hAnsi="Times New Roman" w:cs="Times New Roman"/>
        </w:rPr>
        <w:t xml:space="preserve">ad essere </w:t>
      </w:r>
      <w:r w:rsidRPr="0087500E">
        <w:rPr>
          <w:rFonts w:ascii="Times New Roman" w:hAnsi="Times New Roman" w:cs="Times New Roman"/>
        </w:rPr>
        <w:t>approvata con la procedura di co-decisione dal Parlamento Europeo, dal Consiglio dell’UE e dalla Commissione Europea. È stata il frutto di trattative lunghe due anni, iniziate a ottobre 2011, quando la Commissione Europea ha presentato le proposte dei nuovi Regolamenti. Il negoziato si è concluso il 26 giugno, ma il Parlamento Europeo approva il 20 novembre 2013 in via definitiva i Regolamenti della nuova Politica Agricola Comune</w:t>
      </w:r>
      <w:r>
        <w:rPr>
          <w:rFonts w:ascii="Times New Roman" w:hAnsi="Times New Roman" w:cs="Times New Roman"/>
        </w:rPr>
        <w:t>,</w:t>
      </w:r>
      <w:r w:rsidRPr="0087500E">
        <w:rPr>
          <w:rFonts w:ascii="Times New Roman" w:hAnsi="Times New Roman" w:cs="Times New Roman"/>
        </w:rPr>
        <w:t xml:space="preserve"> in vigore per il settennio 2014-2020.</w:t>
      </w:r>
    </w:p>
    <w:p w14:paraId="4B146337" w14:textId="77777777" w:rsidR="00D90CD3" w:rsidRDefault="00D90CD3" w:rsidP="00FB5C0B">
      <w:pPr>
        <w:jc w:val="center"/>
        <w:rPr>
          <w:rFonts w:ascii="Times New Roman" w:hAnsi="Times New Roman" w:cs="Times New Roman"/>
        </w:rPr>
      </w:pPr>
    </w:p>
    <w:p w14:paraId="6F97C8A0" w14:textId="77777777" w:rsidR="00D90CD3" w:rsidRDefault="00D90CD3" w:rsidP="00FB5C0B">
      <w:pPr>
        <w:jc w:val="center"/>
        <w:rPr>
          <w:rFonts w:ascii="Times New Roman" w:hAnsi="Times New Roman" w:cs="Times New Roman"/>
        </w:rPr>
      </w:pPr>
    </w:p>
    <w:p w14:paraId="0851632A" w14:textId="682F09CC" w:rsidR="00FB5C0B" w:rsidRDefault="00FB5C0B" w:rsidP="00FB5C0B">
      <w:pPr>
        <w:jc w:val="center"/>
        <w:rPr>
          <w:rFonts w:ascii="Times New Roman" w:hAnsi="Times New Roman" w:cs="Times New Roman"/>
        </w:rPr>
      </w:pPr>
      <w:r w:rsidRPr="0087500E">
        <w:rPr>
          <w:rFonts w:ascii="Times New Roman" w:hAnsi="Times New Roman" w:cs="Times New Roman"/>
        </w:rPr>
        <w:lastRenderedPageBreak/>
        <w:t xml:space="preserve">Le novità introdotte nel </w:t>
      </w:r>
      <w:r w:rsidRPr="001717BC">
        <w:rPr>
          <w:rFonts w:ascii="Times New Roman" w:hAnsi="Times New Roman" w:cs="Times New Roman"/>
          <w:b/>
          <w:bCs/>
        </w:rPr>
        <w:t>primo pilastro</w:t>
      </w:r>
      <w:r w:rsidRPr="0087500E">
        <w:rPr>
          <w:rFonts w:ascii="Times New Roman" w:hAnsi="Times New Roman" w:cs="Times New Roman"/>
        </w:rPr>
        <w:t xml:space="preserve"> (aiuti diretti) dalla PAC 2014</w:t>
      </w:r>
      <w:r>
        <w:rPr>
          <w:rFonts w:ascii="Times New Roman" w:hAnsi="Times New Roman" w:cs="Times New Roman"/>
        </w:rPr>
        <w:t xml:space="preserve"> </w:t>
      </w:r>
      <w:r w:rsidRPr="0087500E">
        <w:rPr>
          <w:rFonts w:ascii="Times New Roman" w:hAnsi="Times New Roman" w:cs="Times New Roman"/>
        </w:rPr>
        <w:t>-</w:t>
      </w:r>
      <w:r>
        <w:rPr>
          <w:rFonts w:ascii="Times New Roman" w:hAnsi="Times New Roman" w:cs="Times New Roman"/>
        </w:rPr>
        <w:t xml:space="preserve"> </w:t>
      </w:r>
      <w:r w:rsidRPr="0087500E">
        <w:rPr>
          <w:rFonts w:ascii="Times New Roman" w:hAnsi="Times New Roman" w:cs="Times New Roman"/>
        </w:rPr>
        <w:t>2020:</w:t>
      </w:r>
    </w:p>
    <w:p w14:paraId="3555F536" w14:textId="77777777" w:rsidR="00FB5C0B" w:rsidRDefault="00FB5C0B" w:rsidP="00FB5C0B">
      <w:pPr>
        <w:pStyle w:val="Paragrafoelenco"/>
        <w:numPr>
          <w:ilvl w:val="0"/>
          <w:numId w:val="2"/>
        </w:numPr>
        <w:jc w:val="both"/>
        <w:rPr>
          <w:rFonts w:ascii="Times New Roman" w:hAnsi="Times New Roman" w:cs="Times New Roman"/>
        </w:rPr>
      </w:pPr>
      <w:r w:rsidRPr="001717BC">
        <w:rPr>
          <w:rFonts w:ascii="Times New Roman" w:hAnsi="Times New Roman" w:cs="Times New Roman"/>
        </w:rPr>
        <w:t xml:space="preserve">lo </w:t>
      </w:r>
      <w:r w:rsidRPr="001717BC">
        <w:rPr>
          <w:rFonts w:ascii="Times New Roman" w:hAnsi="Times New Roman" w:cs="Times New Roman"/>
          <w:b/>
          <w:bCs/>
        </w:rPr>
        <w:t>stop agli aiuti disaccoppiati</w:t>
      </w:r>
      <w:r>
        <w:rPr>
          <w:rFonts w:ascii="Times New Roman" w:hAnsi="Times New Roman" w:cs="Times New Roman"/>
        </w:rPr>
        <w:t>: t</w:t>
      </w:r>
      <w:r w:rsidRPr="001717BC">
        <w:rPr>
          <w:rFonts w:ascii="Times New Roman" w:hAnsi="Times New Roman" w:cs="Times New Roman"/>
        </w:rPr>
        <w:t>ali aiuti sono sostituiti da un nuovo sistema di pagamenti diretti, con una soglia minima di aiuto agli agricoltori, per una distribuzione più uniforme delle risorse sulla superficie agricola di ciascuna Regione</w:t>
      </w:r>
      <w:r>
        <w:rPr>
          <w:rFonts w:ascii="Times New Roman" w:hAnsi="Times New Roman" w:cs="Times New Roman"/>
        </w:rPr>
        <w:t>;</w:t>
      </w:r>
    </w:p>
    <w:p w14:paraId="3DACDFE0" w14:textId="77777777" w:rsidR="00FB5C0B" w:rsidRPr="001717BC" w:rsidRDefault="00FB5C0B" w:rsidP="00FB5C0B">
      <w:pPr>
        <w:pStyle w:val="Paragrafoelenco"/>
        <w:numPr>
          <w:ilvl w:val="0"/>
          <w:numId w:val="2"/>
        </w:numPr>
        <w:jc w:val="both"/>
        <w:rPr>
          <w:rFonts w:ascii="Times New Roman" w:hAnsi="Times New Roman" w:cs="Times New Roman"/>
        </w:rPr>
      </w:pPr>
      <w:r w:rsidRPr="001717BC">
        <w:rPr>
          <w:rFonts w:ascii="Times New Roman" w:hAnsi="Times New Roman" w:cs="Times New Roman"/>
          <w:b/>
          <w:bCs/>
        </w:rPr>
        <w:t>l’agricoltura deve essere produttrice di beni pubblici</w:t>
      </w:r>
      <w:r w:rsidRPr="001717BC">
        <w:rPr>
          <w:rFonts w:ascii="Times New Roman" w:hAnsi="Times New Roman" w:cs="Times New Roman"/>
        </w:rPr>
        <w:t>, soprattutto ambientali</w:t>
      </w:r>
      <w:r>
        <w:rPr>
          <w:rFonts w:ascii="Times New Roman" w:hAnsi="Times New Roman" w:cs="Times New Roman"/>
        </w:rPr>
        <w:t xml:space="preserve">. Infatti, </w:t>
      </w:r>
      <w:r w:rsidRPr="001717BC">
        <w:rPr>
          <w:rFonts w:ascii="Times New Roman" w:hAnsi="Times New Roman" w:cs="Times New Roman"/>
        </w:rPr>
        <w:t>i beneficiari devono adottare pratiche agricole in linea con la tutela dell’ambiente e del clima</w:t>
      </w:r>
      <w:r>
        <w:rPr>
          <w:rFonts w:ascii="Times New Roman" w:hAnsi="Times New Roman" w:cs="Times New Roman"/>
        </w:rPr>
        <w:t>;</w:t>
      </w:r>
    </w:p>
    <w:p w14:paraId="2C156440" w14:textId="77777777" w:rsidR="00FB5C0B" w:rsidRDefault="00FB5C0B" w:rsidP="00FB5C0B">
      <w:pPr>
        <w:pStyle w:val="Paragrafoelenco"/>
        <w:numPr>
          <w:ilvl w:val="0"/>
          <w:numId w:val="2"/>
        </w:numPr>
        <w:jc w:val="both"/>
        <w:rPr>
          <w:rFonts w:ascii="Times New Roman" w:hAnsi="Times New Roman" w:cs="Times New Roman"/>
        </w:rPr>
      </w:pPr>
      <w:r>
        <w:rPr>
          <w:rFonts w:ascii="Times New Roman" w:hAnsi="Times New Roman" w:cs="Times New Roman"/>
        </w:rPr>
        <w:t xml:space="preserve">il </w:t>
      </w:r>
      <w:r w:rsidRPr="001717BC">
        <w:rPr>
          <w:rFonts w:ascii="Times New Roman" w:hAnsi="Times New Roman" w:cs="Times New Roman"/>
          <w:b/>
          <w:bCs/>
        </w:rPr>
        <w:t>sostegno solo agli agricoltori attivi</w:t>
      </w:r>
      <w:r>
        <w:rPr>
          <w:rFonts w:ascii="Times New Roman" w:hAnsi="Times New Roman" w:cs="Times New Roman"/>
        </w:rPr>
        <w:t xml:space="preserve">, </w:t>
      </w:r>
      <w:r w:rsidRPr="001717BC">
        <w:rPr>
          <w:rFonts w:ascii="Times New Roman" w:hAnsi="Times New Roman" w:cs="Times New Roman"/>
        </w:rPr>
        <w:t xml:space="preserve">ovvero </w:t>
      </w:r>
      <w:r>
        <w:rPr>
          <w:rFonts w:ascii="Times New Roman" w:hAnsi="Times New Roman" w:cs="Times New Roman"/>
        </w:rPr>
        <w:t xml:space="preserve">a </w:t>
      </w:r>
      <w:r w:rsidRPr="001717BC">
        <w:rPr>
          <w:rFonts w:ascii="Times New Roman" w:hAnsi="Times New Roman" w:cs="Times New Roman"/>
        </w:rPr>
        <w:t>coloro che praticano l’attività agricola</w:t>
      </w:r>
      <w:r>
        <w:rPr>
          <w:rFonts w:ascii="Times New Roman" w:hAnsi="Times New Roman" w:cs="Times New Roman"/>
        </w:rPr>
        <w:t>;</w:t>
      </w:r>
    </w:p>
    <w:p w14:paraId="4BB3B6DA" w14:textId="77777777" w:rsidR="00FB5C0B" w:rsidRDefault="00FB5C0B" w:rsidP="00FB5C0B">
      <w:pPr>
        <w:pStyle w:val="Paragrafoelenco"/>
        <w:numPr>
          <w:ilvl w:val="0"/>
          <w:numId w:val="2"/>
        </w:numPr>
        <w:jc w:val="both"/>
        <w:rPr>
          <w:rFonts w:ascii="Times New Roman" w:hAnsi="Times New Roman" w:cs="Times New Roman"/>
        </w:rPr>
      </w:pPr>
      <w:r w:rsidRPr="001717BC">
        <w:rPr>
          <w:rFonts w:ascii="Times New Roman" w:hAnsi="Times New Roman" w:cs="Times New Roman"/>
          <w:b/>
          <w:bCs/>
        </w:rPr>
        <w:t>le aziende agricole ammesse nel regime dei pagamenti diretti</w:t>
      </w:r>
      <w:r w:rsidRPr="001717BC">
        <w:rPr>
          <w:rFonts w:ascii="Times New Roman" w:hAnsi="Times New Roman" w:cs="Times New Roman"/>
        </w:rPr>
        <w:t xml:space="preserve"> </w:t>
      </w:r>
      <w:r>
        <w:rPr>
          <w:rFonts w:ascii="Times New Roman" w:hAnsi="Times New Roman" w:cs="Times New Roman"/>
        </w:rPr>
        <w:t xml:space="preserve">ai sensi </w:t>
      </w:r>
      <w:r w:rsidRPr="001717BC">
        <w:rPr>
          <w:rFonts w:ascii="Times New Roman" w:hAnsi="Times New Roman" w:cs="Times New Roman"/>
        </w:rPr>
        <w:t xml:space="preserve">del Regolamento </w:t>
      </w:r>
      <w:r>
        <w:rPr>
          <w:rFonts w:ascii="Times New Roman" w:hAnsi="Times New Roman" w:cs="Times New Roman"/>
        </w:rPr>
        <w:t>(</w:t>
      </w:r>
      <w:r w:rsidRPr="001717BC">
        <w:rPr>
          <w:rFonts w:ascii="Times New Roman" w:hAnsi="Times New Roman" w:cs="Times New Roman"/>
        </w:rPr>
        <w:t>UE</w:t>
      </w:r>
      <w:r>
        <w:rPr>
          <w:rFonts w:ascii="Times New Roman" w:hAnsi="Times New Roman" w:cs="Times New Roman"/>
        </w:rPr>
        <w:t>)</w:t>
      </w:r>
      <w:r w:rsidRPr="001717BC">
        <w:rPr>
          <w:rFonts w:ascii="Times New Roman" w:hAnsi="Times New Roman" w:cs="Times New Roman"/>
        </w:rPr>
        <w:t xml:space="preserve"> 1307/2013</w:t>
      </w:r>
      <w:r>
        <w:rPr>
          <w:rFonts w:ascii="Times New Roman" w:hAnsi="Times New Roman" w:cs="Times New Roman"/>
        </w:rPr>
        <w:t xml:space="preserve"> </w:t>
      </w:r>
      <w:r w:rsidRPr="001717BC">
        <w:rPr>
          <w:rFonts w:ascii="Times New Roman" w:hAnsi="Times New Roman" w:cs="Times New Roman"/>
          <w:b/>
          <w:bCs/>
        </w:rPr>
        <w:t>hanno</w:t>
      </w:r>
      <w:r>
        <w:rPr>
          <w:rFonts w:ascii="Times New Roman" w:hAnsi="Times New Roman" w:cs="Times New Roman"/>
          <w:b/>
          <w:bCs/>
        </w:rPr>
        <w:t xml:space="preserve"> </w:t>
      </w:r>
      <w:r w:rsidRPr="001717BC">
        <w:rPr>
          <w:rFonts w:ascii="Times New Roman" w:hAnsi="Times New Roman" w:cs="Times New Roman"/>
          <w:b/>
          <w:bCs/>
        </w:rPr>
        <w:t>l</w:t>
      </w:r>
      <w:r>
        <w:rPr>
          <w:rFonts w:ascii="Times New Roman" w:hAnsi="Times New Roman" w:cs="Times New Roman"/>
          <w:b/>
          <w:bCs/>
        </w:rPr>
        <w:t>’</w:t>
      </w:r>
      <w:r w:rsidRPr="001717BC">
        <w:rPr>
          <w:rFonts w:ascii="Times New Roman" w:hAnsi="Times New Roman" w:cs="Times New Roman"/>
          <w:b/>
          <w:bCs/>
        </w:rPr>
        <w:t>obbligo di rispettare la condizionalità</w:t>
      </w:r>
      <w:r w:rsidRPr="001717BC">
        <w:rPr>
          <w:rFonts w:ascii="Times New Roman" w:hAnsi="Times New Roman" w:cs="Times New Roman"/>
        </w:rPr>
        <w:t xml:space="preserve"> per non incorrere in riduzioni o esclusioni dei pagamenti stessi. I requisiti obbligatori della condizionalità, infatti, costituiscono la baseline a partire dalla quale vengono identificati gli impegni aggiuntivi del </w:t>
      </w:r>
      <w:proofErr w:type="spellStart"/>
      <w:r w:rsidRPr="001717BC">
        <w:rPr>
          <w:rFonts w:ascii="Times New Roman" w:hAnsi="Times New Roman" w:cs="Times New Roman"/>
        </w:rPr>
        <w:t>greening</w:t>
      </w:r>
      <w:proofErr w:type="spellEnd"/>
      <w:r>
        <w:rPr>
          <w:rFonts w:ascii="Times New Roman" w:hAnsi="Times New Roman" w:cs="Times New Roman"/>
        </w:rPr>
        <w:t>, cd. pagamento o aiuti verdi</w:t>
      </w:r>
      <w:r w:rsidRPr="001717BC">
        <w:rPr>
          <w:rFonts w:ascii="Times New Roman" w:hAnsi="Times New Roman" w:cs="Times New Roman"/>
        </w:rPr>
        <w:t>, nonché gli impegni volontari del secondo pilastro</w:t>
      </w:r>
      <w:r>
        <w:rPr>
          <w:rFonts w:ascii="Times New Roman" w:hAnsi="Times New Roman" w:cs="Times New Roman"/>
        </w:rPr>
        <w:t>;</w:t>
      </w:r>
      <w:r w:rsidRPr="001717BC">
        <w:rPr>
          <w:rFonts w:ascii="Times New Roman" w:hAnsi="Times New Roman" w:cs="Times New Roman"/>
        </w:rPr>
        <w:t xml:space="preserve"> </w:t>
      </w:r>
    </w:p>
    <w:p w14:paraId="487AAD99" w14:textId="77777777" w:rsidR="00FB5C0B" w:rsidRDefault="00FB5C0B" w:rsidP="00FB5C0B">
      <w:pPr>
        <w:pStyle w:val="Paragrafoelenco"/>
        <w:numPr>
          <w:ilvl w:val="0"/>
          <w:numId w:val="2"/>
        </w:numPr>
        <w:jc w:val="both"/>
        <w:rPr>
          <w:rFonts w:ascii="Times New Roman" w:hAnsi="Times New Roman" w:cs="Times New Roman"/>
        </w:rPr>
      </w:pPr>
      <w:r>
        <w:rPr>
          <w:rFonts w:ascii="Times New Roman" w:hAnsi="Times New Roman" w:cs="Times New Roman"/>
        </w:rPr>
        <w:t>il</w:t>
      </w:r>
      <w:r w:rsidRPr="001717BC">
        <w:rPr>
          <w:rFonts w:ascii="Times New Roman" w:hAnsi="Times New Roman" w:cs="Times New Roman"/>
        </w:rPr>
        <w:t xml:space="preserve"> </w:t>
      </w:r>
      <w:proofErr w:type="spellStart"/>
      <w:r w:rsidRPr="001717BC">
        <w:rPr>
          <w:rFonts w:ascii="Times New Roman" w:hAnsi="Times New Roman" w:cs="Times New Roman"/>
          <w:b/>
          <w:bCs/>
        </w:rPr>
        <w:t>Greening</w:t>
      </w:r>
      <w:proofErr w:type="spellEnd"/>
      <w:r w:rsidRPr="001717BC">
        <w:rPr>
          <w:rFonts w:ascii="Times New Roman" w:hAnsi="Times New Roman" w:cs="Times New Roman"/>
          <w:b/>
          <w:bCs/>
        </w:rPr>
        <w:t xml:space="preserve"> </w:t>
      </w:r>
      <w:r w:rsidRPr="001717BC">
        <w:rPr>
          <w:rFonts w:ascii="Times New Roman" w:hAnsi="Times New Roman" w:cs="Times New Roman"/>
        </w:rPr>
        <w:t>incide per il 30% del totale delle risorse nazionali disponibili.</w:t>
      </w:r>
      <w:r>
        <w:rPr>
          <w:rFonts w:ascii="Times New Roman" w:hAnsi="Times New Roman" w:cs="Times New Roman"/>
        </w:rPr>
        <w:t xml:space="preserve"> I</w:t>
      </w:r>
      <w:r w:rsidRPr="001717BC">
        <w:rPr>
          <w:rFonts w:ascii="Times New Roman" w:hAnsi="Times New Roman" w:cs="Times New Roman"/>
        </w:rPr>
        <w:t xml:space="preserve"> criteri in base ai quali vengono dati gli aiuti verdi</w:t>
      </w:r>
      <w:r>
        <w:rPr>
          <w:rFonts w:ascii="Times New Roman" w:hAnsi="Times New Roman" w:cs="Times New Roman"/>
        </w:rPr>
        <w:t xml:space="preserve"> sono la </w:t>
      </w:r>
      <w:r w:rsidRPr="001717BC">
        <w:rPr>
          <w:rFonts w:ascii="Times New Roman" w:hAnsi="Times New Roman" w:cs="Times New Roman"/>
        </w:rPr>
        <w:t>diversificazione delle colture (almeno due colture per i terreni fino a 30 ettari</w:t>
      </w:r>
      <w:r>
        <w:rPr>
          <w:rFonts w:ascii="Times New Roman" w:hAnsi="Times New Roman" w:cs="Times New Roman"/>
        </w:rPr>
        <w:t xml:space="preserve"> </w:t>
      </w:r>
      <w:r w:rsidRPr="001717BC">
        <w:rPr>
          <w:rFonts w:ascii="Times New Roman" w:hAnsi="Times New Roman" w:cs="Times New Roman"/>
        </w:rPr>
        <w:t>e almeno tre colture sopra i 30 ettari)</w:t>
      </w:r>
      <w:r>
        <w:rPr>
          <w:rFonts w:ascii="Times New Roman" w:hAnsi="Times New Roman" w:cs="Times New Roman"/>
        </w:rPr>
        <w:t>,</w:t>
      </w:r>
      <w:r w:rsidRPr="001717BC">
        <w:rPr>
          <w:rFonts w:ascii="Times New Roman" w:hAnsi="Times New Roman" w:cs="Times New Roman"/>
        </w:rPr>
        <w:t xml:space="preserve"> il mantenimento dei prati e pascoli permanenti esistenti</w:t>
      </w:r>
      <w:r>
        <w:rPr>
          <w:rFonts w:ascii="Times New Roman" w:hAnsi="Times New Roman" w:cs="Times New Roman"/>
        </w:rPr>
        <w:t xml:space="preserve"> e</w:t>
      </w:r>
      <w:r w:rsidRPr="001717BC">
        <w:rPr>
          <w:rFonts w:ascii="Times New Roman" w:hAnsi="Times New Roman" w:cs="Times New Roman"/>
        </w:rPr>
        <w:t xml:space="preserve"> l’identificazione di aree di interesse ecologico</w:t>
      </w:r>
      <w:r>
        <w:rPr>
          <w:rFonts w:ascii="Times New Roman" w:hAnsi="Times New Roman" w:cs="Times New Roman"/>
        </w:rPr>
        <w:t>;</w:t>
      </w:r>
    </w:p>
    <w:p w14:paraId="2562AFB5" w14:textId="77777777" w:rsidR="00FB5C0B" w:rsidRPr="001717BC" w:rsidRDefault="00FB5C0B" w:rsidP="00FB5C0B">
      <w:pPr>
        <w:pStyle w:val="Paragrafoelenco"/>
        <w:numPr>
          <w:ilvl w:val="0"/>
          <w:numId w:val="2"/>
        </w:numPr>
        <w:jc w:val="both"/>
        <w:rPr>
          <w:rFonts w:ascii="Times New Roman" w:hAnsi="Times New Roman" w:cs="Times New Roman"/>
        </w:rPr>
      </w:pPr>
      <w:r>
        <w:rPr>
          <w:rFonts w:ascii="Times New Roman" w:hAnsi="Times New Roman" w:cs="Times New Roman"/>
        </w:rPr>
        <w:t>i</w:t>
      </w:r>
      <w:r w:rsidRPr="001717BC">
        <w:rPr>
          <w:rFonts w:ascii="Times New Roman" w:hAnsi="Times New Roman" w:cs="Times New Roman"/>
        </w:rPr>
        <w:t>l</w:t>
      </w:r>
      <w:r w:rsidRPr="001717BC">
        <w:rPr>
          <w:rFonts w:ascii="Times New Roman" w:hAnsi="Times New Roman" w:cs="Times New Roman"/>
          <w:b/>
          <w:bCs/>
        </w:rPr>
        <w:t xml:space="preserve"> pagamento annuale supplementare ai giovani agricoltori</w:t>
      </w:r>
      <w:r w:rsidRPr="001717BC">
        <w:rPr>
          <w:rFonts w:ascii="Times New Roman" w:hAnsi="Times New Roman" w:cs="Times New Roman"/>
        </w:rPr>
        <w:t xml:space="preserve"> della durata massima di 5 anni spettante ai titolari di aziende agricole aventi meno di 40 anni.</w:t>
      </w:r>
    </w:p>
    <w:p w14:paraId="55FB8686" w14:textId="77777777" w:rsidR="00FB5C0B" w:rsidRPr="0087500E" w:rsidRDefault="00FB5C0B" w:rsidP="00FB5C0B">
      <w:pPr>
        <w:jc w:val="both"/>
        <w:rPr>
          <w:rFonts w:ascii="Times New Roman" w:hAnsi="Times New Roman" w:cs="Times New Roman"/>
        </w:rPr>
      </w:pPr>
      <w:r w:rsidRPr="0087500E">
        <w:rPr>
          <w:rFonts w:ascii="Times New Roman" w:hAnsi="Times New Roman" w:cs="Times New Roman"/>
        </w:rPr>
        <w:t xml:space="preserve">Le misure del </w:t>
      </w:r>
      <w:proofErr w:type="spellStart"/>
      <w:r w:rsidRPr="0087500E">
        <w:rPr>
          <w:rFonts w:ascii="Times New Roman" w:hAnsi="Times New Roman" w:cs="Times New Roman"/>
        </w:rPr>
        <w:t>greening</w:t>
      </w:r>
      <w:proofErr w:type="spellEnd"/>
      <w:r w:rsidRPr="0087500E">
        <w:rPr>
          <w:rFonts w:ascii="Times New Roman" w:hAnsi="Times New Roman" w:cs="Times New Roman"/>
        </w:rPr>
        <w:t xml:space="preserve"> e, in particolare, la misura di mantenimento dei prati-pascoli permanenti e quella di conservazione delle aree benefiche per la biodiversità hanno un impatto positivo sulle emissioni. Si stima che tali misure hanno ridotto le emissioni del 2% su base annua in tutta l’UE.</w:t>
      </w:r>
    </w:p>
    <w:p w14:paraId="2D649F5E" w14:textId="77777777" w:rsidR="00FB5C0B" w:rsidRPr="0087500E" w:rsidRDefault="00FB5C0B" w:rsidP="00FB5C0B">
      <w:pPr>
        <w:jc w:val="both"/>
        <w:rPr>
          <w:rFonts w:ascii="Times New Roman" w:hAnsi="Times New Roman" w:cs="Times New Roman"/>
        </w:rPr>
      </w:pPr>
      <w:r w:rsidRPr="0087500E">
        <w:rPr>
          <w:rFonts w:ascii="Times New Roman" w:hAnsi="Times New Roman" w:cs="Times New Roman"/>
        </w:rPr>
        <w:t xml:space="preserve">Il </w:t>
      </w:r>
      <w:r w:rsidRPr="00270C2E">
        <w:rPr>
          <w:rFonts w:ascii="Times New Roman" w:hAnsi="Times New Roman" w:cs="Times New Roman"/>
          <w:b/>
          <w:bCs/>
        </w:rPr>
        <w:t>secondo pilastro</w:t>
      </w:r>
      <w:r w:rsidRPr="0087500E">
        <w:rPr>
          <w:rFonts w:ascii="Times New Roman" w:hAnsi="Times New Roman" w:cs="Times New Roman"/>
        </w:rPr>
        <w:t xml:space="preserve"> è finanziato tramite il Fondo Europeo Agricolo per lo Sviluppo Rurale (FEASR), con la compartecipazione degli Stati Membri, per una percentuale minima del 20%.</w:t>
      </w:r>
    </w:p>
    <w:p w14:paraId="0842A714" w14:textId="77777777" w:rsidR="00FB5C0B" w:rsidRPr="00270C2E" w:rsidRDefault="00FB5C0B" w:rsidP="00FB5C0B">
      <w:pPr>
        <w:rPr>
          <w:rFonts w:ascii="Times New Roman" w:hAnsi="Times New Roman" w:cs="Times New Roman"/>
        </w:rPr>
      </w:pPr>
      <w:r w:rsidRPr="0087500E">
        <w:rPr>
          <w:rFonts w:ascii="Times New Roman" w:hAnsi="Times New Roman" w:cs="Times New Roman"/>
        </w:rPr>
        <w:t xml:space="preserve">Le novità introdotte nel </w:t>
      </w:r>
      <w:r w:rsidRPr="00270C2E">
        <w:rPr>
          <w:rFonts w:ascii="Times New Roman" w:hAnsi="Times New Roman" w:cs="Times New Roman"/>
          <w:b/>
          <w:bCs/>
        </w:rPr>
        <w:t>II pilastro</w:t>
      </w:r>
      <w:r w:rsidRPr="0087500E">
        <w:rPr>
          <w:rFonts w:ascii="Times New Roman" w:hAnsi="Times New Roman" w:cs="Times New Roman"/>
        </w:rPr>
        <w:t xml:space="preserve"> riguardano</w:t>
      </w:r>
      <w:r>
        <w:rPr>
          <w:rFonts w:ascii="Times New Roman" w:hAnsi="Times New Roman" w:cs="Times New Roman"/>
        </w:rPr>
        <w:t xml:space="preserve"> </w:t>
      </w:r>
      <w:r w:rsidRPr="00270C2E">
        <w:rPr>
          <w:rFonts w:ascii="Times New Roman" w:hAnsi="Times New Roman" w:cs="Times New Roman"/>
        </w:rPr>
        <w:t xml:space="preserve">l’introduzione del </w:t>
      </w:r>
      <w:r w:rsidRPr="00270C2E">
        <w:rPr>
          <w:rFonts w:ascii="Times New Roman" w:hAnsi="Times New Roman" w:cs="Times New Roman"/>
          <w:b/>
          <w:bCs/>
        </w:rPr>
        <w:t>principio della flessibilità tra i pilastri</w:t>
      </w:r>
      <w:r w:rsidRPr="00270C2E">
        <w:rPr>
          <w:rFonts w:ascii="Times New Roman" w:hAnsi="Times New Roman" w:cs="Times New Roman"/>
        </w:rPr>
        <w:t xml:space="preserve">, dando la possibilità agli Stati Membri di trasferire allo Sviluppo Rurale fino al 15% delle risorse annuali destinate agli aiuti diretti. </w:t>
      </w:r>
    </w:p>
    <w:p w14:paraId="00105A26" w14:textId="77777777" w:rsidR="00FB5C0B" w:rsidRPr="0087500E" w:rsidRDefault="00FB5C0B" w:rsidP="00FB5C0B">
      <w:pPr>
        <w:jc w:val="both"/>
        <w:rPr>
          <w:rFonts w:ascii="Times New Roman" w:hAnsi="Times New Roman" w:cs="Times New Roman"/>
        </w:rPr>
      </w:pPr>
      <w:r w:rsidRPr="0087500E">
        <w:rPr>
          <w:rFonts w:ascii="Times New Roman" w:hAnsi="Times New Roman" w:cs="Times New Roman"/>
        </w:rPr>
        <w:t>Gli Stati Membri e le Regioni elaborano le proprie strategie e i propri Programmi di Sviluppo Rurale (PSR), per adattare la PAC alle caratteristiche specifiche dei territori.</w:t>
      </w:r>
    </w:p>
    <w:p w14:paraId="0E5F19E8" w14:textId="77777777" w:rsidR="00FB5C0B" w:rsidRPr="0087500E" w:rsidRDefault="00FB5C0B" w:rsidP="00FB5C0B">
      <w:pPr>
        <w:jc w:val="both"/>
        <w:rPr>
          <w:rFonts w:ascii="Times New Roman" w:hAnsi="Times New Roman" w:cs="Times New Roman"/>
        </w:rPr>
      </w:pPr>
      <w:r w:rsidRPr="0087500E">
        <w:rPr>
          <w:rFonts w:ascii="Times New Roman" w:hAnsi="Times New Roman" w:cs="Times New Roman"/>
        </w:rPr>
        <w:t>La selezione di misure presenti nei Programmi di sviluppo rurale sono destinate ad aiutare gli agricoltori a modernizzare le loro aziende e a diventare più competitivi, a proteggere l’ambiente e a contribuire alla diversificazione delle attività agricole e non agricole e alla vitalità delle comunità rurali. </w:t>
      </w:r>
    </w:p>
    <w:p w14:paraId="2D06843C" w14:textId="69E54566" w:rsidR="00FB5C0B" w:rsidRPr="00FB5C0B" w:rsidRDefault="00FB5C0B" w:rsidP="00FB5C0B">
      <w:pPr>
        <w:jc w:val="both"/>
        <w:rPr>
          <w:rFonts w:ascii="Times New Roman" w:hAnsi="Times New Roman" w:cs="Times New Roman"/>
        </w:rPr>
      </w:pPr>
      <w:r w:rsidRPr="0087500E">
        <w:rPr>
          <w:rFonts w:ascii="Times New Roman" w:hAnsi="Times New Roman" w:cs="Times New Roman"/>
        </w:rPr>
        <w:t>La Politica di Sviluppo Rurale deve contribuire anche a realizzare gli obiettivi degli altri fondi strutturali UE, in particolare il Fondo Europeo di Sviluppo Regionale (FESR) e il Fondo Sociale Europeo (FSE), che sono gestiti in un unico Quadro Strategico Comune (QSC).</w:t>
      </w:r>
    </w:p>
    <w:p w14:paraId="6E0BC796" w14:textId="77777777" w:rsidR="00FB5C0B" w:rsidRPr="00270C2E" w:rsidRDefault="00FB5C0B" w:rsidP="00FB5C0B">
      <w:pPr>
        <w:jc w:val="both"/>
        <w:rPr>
          <w:rFonts w:ascii="Times New Roman" w:hAnsi="Times New Roman" w:cs="Times New Roman"/>
          <w:u w:val="single"/>
        </w:rPr>
      </w:pPr>
      <w:r w:rsidRPr="00270C2E">
        <w:rPr>
          <w:rFonts w:ascii="Times New Roman" w:hAnsi="Times New Roman" w:cs="Times New Roman"/>
          <w:u w:val="single"/>
        </w:rPr>
        <w:t>Le risorse assegnate nella PAC 2014-2020</w:t>
      </w:r>
    </w:p>
    <w:p w14:paraId="54F4C4DF" w14:textId="77777777" w:rsidR="00FB5C0B" w:rsidRPr="0087500E" w:rsidRDefault="00FB5C0B" w:rsidP="00FB5C0B">
      <w:pPr>
        <w:jc w:val="both"/>
        <w:rPr>
          <w:rFonts w:ascii="Times New Roman" w:hAnsi="Times New Roman" w:cs="Times New Roman"/>
        </w:rPr>
      </w:pPr>
      <w:r w:rsidRPr="002B262B">
        <w:rPr>
          <w:rFonts w:ascii="Times New Roman" w:hAnsi="Times New Roman" w:cs="Times New Roman"/>
          <w:b/>
          <w:bCs/>
        </w:rPr>
        <w:t>All’Italia è stata assegnata la dotazione di circa 52 miliardi di euro in 7 anni</w:t>
      </w:r>
      <w:r w:rsidRPr="0087500E">
        <w:rPr>
          <w:rFonts w:ascii="Times New Roman" w:hAnsi="Times New Roman" w:cs="Times New Roman"/>
        </w:rPr>
        <w:t>.</w:t>
      </w:r>
      <w:r>
        <w:rPr>
          <w:rFonts w:ascii="Times New Roman" w:hAnsi="Times New Roman" w:cs="Times New Roman"/>
        </w:rPr>
        <w:t xml:space="preserve"> </w:t>
      </w:r>
      <w:r w:rsidRPr="0087500E">
        <w:rPr>
          <w:rFonts w:ascii="Times New Roman" w:hAnsi="Times New Roman" w:cs="Times New Roman"/>
        </w:rPr>
        <w:t xml:space="preserve">Per il </w:t>
      </w:r>
      <w:r w:rsidRPr="002B262B">
        <w:rPr>
          <w:rFonts w:ascii="Times New Roman" w:hAnsi="Times New Roman" w:cs="Times New Roman"/>
          <w:b/>
          <w:bCs/>
        </w:rPr>
        <w:t>I pilastro</w:t>
      </w:r>
      <w:r w:rsidRPr="0087500E">
        <w:rPr>
          <w:rFonts w:ascii="Times New Roman" w:hAnsi="Times New Roman" w:cs="Times New Roman"/>
        </w:rPr>
        <w:t xml:space="preserve"> (aiuti diretti) sono stati messi a disposizione </w:t>
      </w:r>
      <w:r w:rsidRPr="002B262B">
        <w:rPr>
          <w:rFonts w:ascii="Times New Roman" w:hAnsi="Times New Roman" w:cs="Times New Roman"/>
          <w:b/>
          <w:bCs/>
        </w:rPr>
        <w:t>circa 27 miliardi di euro totali</w:t>
      </w:r>
      <w:r w:rsidRPr="0087500E">
        <w:rPr>
          <w:rFonts w:ascii="Times New Roman" w:hAnsi="Times New Roman" w:cs="Times New Roman"/>
        </w:rPr>
        <w:t xml:space="preserve">, ovvero circa 4 miliardi di </w:t>
      </w:r>
      <w:proofErr w:type="gramStart"/>
      <w:r w:rsidRPr="0087500E">
        <w:rPr>
          <w:rFonts w:ascii="Times New Roman" w:hAnsi="Times New Roman" w:cs="Times New Roman"/>
        </w:rPr>
        <w:t>euro  l’anno</w:t>
      </w:r>
      <w:proofErr w:type="gramEnd"/>
      <w:r w:rsidRPr="0087500E">
        <w:rPr>
          <w:rFonts w:ascii="Times New Roman" w:hAnsi="Times New Roman" w:cs="Times New Roman"/>
        </w:rPr>
        <w:t>,  completamente finanziati dall’Europa</w:t>
      </w:r>
      <w:r>
        <w:rPr>
          <w:rFonts w:ascii="Times New Roman" w:hAnsi="Times New Roman" w:cs="Times New Roman"/>
        </w:rPr>
        <w:t>.</w:t>
      </w:r>
    </w:p>
    <w:p w14:paraId="4D3170C2" w14:textId="77777777" w:rsidR="00FB5C0B" w:rsidRPr="0087500E" w:rsidRDefault="00FB5C0B" w:rsidP="00FB5C0B">
      <w:pPr>
        <w:jc w:val="both"/>
        <w:rPr>
          <w:rFonts w:ascii="Times New Roman" w:hAnsi="Times New Roman" w:cs="Times New Roman"/>
        </w:rPr>
      </w:pPr>
      <w:r w:rsidRPr="0087500E">
        <w:rPr>
          <w:rFonts w:ascii="Times New Roman" w:hAnsi="Times New Roman" w:cs="Times New Roman"/>
        </w:rPr>
        <w:t xml:space="preserve">Per il </w:t>
      </w:r>
      <w:r w:rsidRPr="002B262B">
        <w:rPr>
          <w:rFonts w:ascii="Times New Roman" w:hAnsi="Times New Roman" w:cs="Times New Roman"/>
          <w:b/>
          <w:bCs/>
        </w:rPr>
        <w:t>II pilastro</w:t>
      </w:r>
      <w:r w:rsidRPr="0087500E">
        <w:rPr>
          <w:rFonts w:ascii="Times New Roman" w:hAnsi="Times New Roman" w:cs="Times New Roman"/>
        </w:rPr>
        <w:t xml:space="preserve">, invece, sono stati messi a disposizione per finanziare le misure dello Sviluppo rurale </w:t>
      </w:r>
      <w:r w:rsidRPr="002B262B">
        <w:rPr>
          <w:rFonts w:ascii="Times New Roman" w:hAnsi="Times New Roman" w:cs="Times New Roman"/>
          <w:b/>
          <w:bCs/>
        </w:rPr>
        <w:t>circa 21 miliardi di euro,</w:t>
      </w:r>
      <w:r w:rsidRPr="0087500E">
        <w:rPr>
          <w:rFonts w:ascii="Times New Roman" w:hAnsi="Times New Roman" w:cs="Times New Roman"/>
        </w:rPr>
        <w:t xml:space="preserve"> quindi circa 3 miliardi di euro l’anno. Tali risorse sono stanziate per la metà da Fondi europei e per la metà da una quota nazionale.</w:t>
      </w:r>
    </w:p>
    <w:p w14:paraId="7CBFA2D5" w14:textId="77777777" w:rsidR="00FB5C0B" w:rsidRPr="0087500E" w:rsidRDefault="00FB5C0B" w:rsidP="00FB5C0B">
      <w:pPr>
        <w:jc w:val="both"/>
        <w:rPr>
          <w:rFonts w:ascii="Times New Roman" w:hAnsi="Times New Roman" w:cs="Times New Roman"/>
        </w:rPr>
      </w:pPr>
      <w:r w:rsidRPr="002B262B">
        <w:rPr>
          <w:rFonts w:ascii="Times New Roman" w:hAnsi="Times New Roman" w:cs="Times New Roman"/>
          <w:b/>
          <w:bCs/>
        </w:rPr>
        <w:t xml:space="preserve">A questi 48 miliardi totali va aggiunta una quota relativa ai finanziamenti dell’OCM </w:t>
      </w:r>
      <w:r w:rsidRPr="0087500E">
        <w:rPr>
          <w:rFonts w:ascii="Times New Roman" w:hAnsi="Times New Roman" w:cs="Times New Roman"/>
        </w:rPr>
        <w:t xml:space="preserve">(Organizzazione comune di mercato) </w:t>
      </w:r>
      <w:r w:rsidRPr="002B262B">
        <w:rPr>
          <w:rFonts w:ascii="Times New Roman" w:hAnsi="Times New Roman" w:cs="Times New Roman"/>
          <w:b/>
          <w:bCs/>
        </w:rPr>
        <w:t>di circa 4 miliardi di euro.</w:t>
      </w:r>
    </w:p>
    <w:p w14:paraId="5ED6B5D8" w14:textId="77777777" w:rsidR="00FB5C0B" w:rsidRPr="0087500E" w:rsidRDefault="00FB5C0B" w:rsidP="00FB5C0B">
      <w:pPr>
        <w:jc w:val="both"/>
        <w:rPr>
          <w:rFonts w:ascii="Times New Roman" w:hAnsi="Times New Roman" w:cs="Times New Roman"/>
        </w:rPr>
      </w:pPr>
      <w:r>
        <w:rPr>
          <w:rFonts w:ascii="Times New Roman" w:hAnsi="Times New Roman" w:cs="Times New Roman"/>
        </w:rPr>
        <w:t>Nella slide proposta si analizza i</w:t>
      </w:r>
      <w:r w:rsidRPr="0087500E">
        <w:rPr>
          <w:rFonts w:ascii="Times New Roman" w:hAnsi="Times New Roman" w:cs="Times New Roman"/>
        </w:rPr>
        <w:t xml:space="preserve">l contributo dei due pilastri sulla riduzione delle emissioni di gas serra dall'attività agricola, sul carbon stock, sulla riduzione della vulnerabilità dell'agricoltura ai cambiamenti </w:t>
      </w:r>
      <w:r w:rsidRPr="0087500E">
        <w:rPr>
          <w:rFonts w:ascii="Times New Roman" w:hAnsi="Times New Roman" w:cs="Times New Roman"/>
        </w:rPr>
        <w:lastRenderedPageBreak/>
        <w:t xml:space="preserve">climatici e sul rafforzamento della capacità dell'agricoltura stessa di fornire servizi di adattamento e di mitigazione. </w:t>
      </w:r>
      <w:r w:rsidRPr="00871232">
        <w:rPr>
          <w:rFonts w:ascii="Times New Roman" w:hAnsi="Times New Roman" w:cs="Times New Roman"/>
          <w:b/>
          <w:bCs/>
        </w:rPr>
        <w:t>L'efficacia delle misure della PAC potenzialmente utili per l'adattamento climatico è stata probabilmente ostacolata dall'assenza di logiche di intervento chiare ed efficaci.</w:t>
      </w:r>
      <w:r w:rsidRPr="0087500E">
        <w:rPr>
          <w:rFonts w:ascii="Times New Roman" w:hAnsi="Times New Roman" w:cs="Times New Roman"/>
        </w:rPr>
        <w:t xml:space="preserve"> Infatti, è molto debole l'integrazione fra le misure del primo pilastro utili all'adattamento (come il </w:t>
      </w:r>
      <w:proofErr w:type="spellStart"/>
      <w:r w:rsidRPr="0087500E">
        <w:rPr>
          <w:rFonts w:ascii="Times New Roman" w:hAnsi="Times New Roman" w:cs="Times New Roman"/>
        </w:rPr>
        <w:t>greening</w:t>
      </w:r>
      <w:proofErr w:type="spellEnd"/>
      <w:r w:rsidRPr="0087500E">
        <w:rPr>
          <w:rFonts w:ascii="Times New Roman" w:hAnsi="Times New Roman" w:cs="Times New Roman"/>
        </w:rPr>
        <w:t xml:space="preserve"> e il criterio della condizionalità inerente le buone condizioni agronomiche e ambientali) e quelle dello sviluppo rurale. Inoltre, </w:t>
      </w:r>
      <w:r w:rsidRPr="00871232">
        <w:rPr>
          <w:rFonts w:ascii="Times New Roman" w:hAnsi="Times New Roman" w:cs="Times New Roman"/>
          <w:b/>
          <w:bCs/>
        </w:rPr>
        <w:t>misure come i pagamenti agro-climatico-ambientali e l’agricoltura biologica sono state associate troppo spesso a obiettivi di gestione ambientale molto ampi</w:t>
      </w:r>
      <w:r w:rsidRPr="0087500E">
        <w:rPr>
          <w:rFonts w:ascii="Times New Roman" w:hAnsi="Times New Roman" w:cs="Times New Roman"/>
        </w:rPr>
        <w:t xml:space="preserve"> (biodiversità, acqua e gestione del suolo), piuttosto che esplicitamente a priorità di adattamento, anche se indirettamente determinano comunque dei benefìci in termini di adattamento.</w:t>
      </w:r>
    </w:p>
    <w:p w14:paraId="6E0B1208" w14:textId="77777777" w:rsidR="00FB5C0B" w:rsidRDefault="00FB5C0B" w:rsidP="00FB5C0B">
      <w:pPr>
        <w:jc w:val="both"/>
        <w:rPr>
          <w:rFonts w:ascii="Times New Roman" w:hAnsi="Times New Roman" w:cs="Times New Roman"/>
        </w:rPr>
      </w:pPr>
      <w:r w:rsidRPr="0087500E">
        <w:rPr>
          <w:rFonts w:ascii="Times New Roman" w:hAnsi="Times New Roman" w:cs="Times New Roman"/>
        </w:rPr>
        <w:t xml:space="preserve">L’attenzione al clima nella PAC 2014-2020 si osserva in tre strumenti strategici: gli impegni per il </w:t>
      </w:r>
      <w:proofErr w:type="spellStart"/>
      <w:r w:rsidRPr="0087500E">
        <w:rPr>
          <w:rFonts w:ascii="Times New Roman" w:hAnsi="Times New Roman" w:cs="Times New Roman"/>
        </w:rPr>
        <w:t>greening</w:t>
      </w:r>
      <w:proofErr w:type="spellEnd"/>
      <w:r w:rsidRPr="0087500E">
        <w:rPr>
          <w:rFonts w:ascii="Times New Roman" w:hAnsi="Times New Roman" w:cs="Times New Roman"/>
        </w:rPr>
        <w:t>, cd. “pagamento verde”</w:t>
      </w:r>
      <w:r>
        <w:rPr>
          <w:rFonts w:ascii="Times New Roman" w:hAnsi="Times New Roman" w:cs="Times New Roman"/>
        </w:rPr>
        <w:t>,</w:t>
      </w:r>
      <w:r w:rsidRPr="0087500E">
        <w:rPr>
          <w:rFonts w:ascii="Times New Roman" w:hAnsi="Times New Roman" w:cs="Times New Roman"/>
        </w:rPr>
        <w:t xml:space="preserve"> e quelli della condizionalità nel primo pilastro e la priorità climatica inserita nel secondo pilastro alla quale poter ricondurre un mix di misure dello sviluppo rurale, tra cui quella dei pagamenti</w:t>
      </w:r>
      <w:r>
        <w:rPr>
          <w:rFonts w:ascii="Times New Roman" w:hAnsi="Times New Roman" w:cs="Times New Roman"/>
        </w:rPr>
        <w:t xml:space="preserve"> agro - climatico - ambientali, di nuova introduzione. </w:t>
      </w:r>
    </w:p>
    <w:p w14:paraId="39BFB2B2" w14:textId="77777777" w:rsidR="00FB5C0B" w:rsidRPr="0087500E" w:rsidRDefault="00FB5C0B" w:rsidP="00FB5C0B">
      <w:pPr>
        <w:jc w:val="both"/>
        <w:rPr>
          <w:rFonts w:ascii="Times New Roman" w:hAnsi="Times New Roman" w:cs="Times New Roman"/>
        </w:rPr>
      </w:pPr>
      <w:r w:rsidRPr="0087500E">
        <w:rPr>
          <w:rFonts w:ascii="Times New Roman" w:hAnsi="Times New Roman" w:cs="Times New Roman"/>
        </w:rPr>
        <w:t>Nel secondo pilastro, la mitigazione dei cambiamenti climatici è perseguita attraverso la Priorità 5 “</w:t>
      </w:r>
      <w:r w:rsidRPr="00A8632E">
        <w:rPr>
          <w:rFonts w:ascii="Times New Roman" w:hAnsi="Times New Roman" w:cs="Times New Roman"/>
          <w:i/>
          <w:iCs/>
        </w:rPr>
        <w:t>Incentivare l'uso efficiente delle risorse e il passaggio a un'economia a basse emissioni di carbonio e resiliente al clima nel settore agroalimentare e forestale</w:t>
      </w:r>
      <w:r w:rsidRPr="0087500E">
        <w:rPr>
          <w:rFonts w:ascii="Times New Roman" w:hAnsi="Times New Roman" w:cs="Times New Roman"/>
        </w:rPr>
        <w:t>”, le relative focus area  5D “</w:t>
      </w:r>
      <w:r w:rsidRPr="00A8632E">
        <w:rPr>
          <w:rFonts w:ascii="Times New Roman" w:hAnsi="Times New Roman" w:cs="Times New Roman"/>
          <w:i/>
          <w:iCs/>
        </w:rPr>
        <w:t>Riduzione delle emissioni di gas a effetto serra e di ammoniaca prodotte dall'agricoltura</w:t>
      </w:r>
      <w:r w:rsidRPr="0087500E">
        <w:rPr>
          <w:rFonts w:ascii="Times New Roman" w:hAnsi="Times New Roman" w:cs="Times New Roman"/>
        </w:rPr>
        <w:t>” e 5E “</w:t>
      </w:r>
      <w:r w:rsidRPr="00A8632E">
        <w:rPr>
          <w:rFonts w:ascii="Times New Roman" w:hAnsi="Times New Roman" w:cs="Times New Roman"/>
          <w:i/>
          <w:iCs/>
        </w:rPr>
        <w:t>Promozione della conservazione e il sequestro del carbonio nel settore agricolo e forestale</w:t>
      </w:r>
      <w:r w:rsidRPr="0087500E">
        <w:rPr>
          <w:rFonts w:ascii="Times New Roman" w:hAnsi="Times New Roman" w:cs="Times New Roman"/>
        </w:rPr>
        <w:t xml:space="preserve">” e, </w:t>
      </w:r>
      <w:r>
        <w:rPr>
          <w:rFonts w:ascii="Times New Roman" w:hAnsi="Times New Roman" w:cs="Times New Roman"/>
        </w:rPr>
        <w:t xml:space="preserve">infine, </w:t>
      </w:r>
      <w:r w:rsidRPr="0087500E">
        <w:rPr>
          <w:rFonts w:ascii="Times New Roman" w:hAnsi="Times New Roman" w:cs="Times New Roman"/>
        </w:rPr>
        <w:t xml:space="preserve">indirettamente, </w:t>
      </w:r>
      <w:r>
        <w:rPr>
          <w:rFonts w:ascii="Times New Roman" w:hAnsi="Times New Roman" w:cs="Times New Roman"/>
        </w:rPr>
        <w:t xml:space="preserve">attraverso </w:t>
      </w:r>
      <w:r w:rsidRPr="0087500E">
        <w:rPr>
          <w:rFonts w:ascii="Times New Roman" w:hAnsi="Times New Roman" w:cs="Times New Roman"/>
        </w:rPr>
        <w:t>la Priorità 4.</w:t>
      </w:r>
      <w:r>
        <w:rPr>
          <w:rFonts w:ascii="Times New Roman" w:hAnsi="Times New Roman" w:cs="Times New Roman"/>
        </w:rPr>
        <w:t xml:space="preserve"> </w:t>
      </w:r>
      <w:r w:rsidRPr="00A8632E">
        <w:rPr>
          <w:rFonts w:ascii="Times New Roman" w:hAnsi="Times New Roman" w:cs="Times New Roman"/>
          <w:b/>
          <w:bCs/>
        </w:rPr>
        <w:t>Le risorse complessivamente programmate a livello nazionale per il raggiungimento dell’obiettivo climatico ammontino ad un totale di circa 4.973 milioni</w:t>
      </w:r>
      <w:r w:rsidRPr="0087500E">
        <w:rPr>
          <w:rFonts w:ascii="Times New Roman" w:hAnsi="Times New Roman" w:cs="Times New Roman"/>
        </w:rPr>
        <w:t xml:space="preserve">, derivanti dalla sommatoria di 3.629 milioni per la Priorità 4, di 723 milioni per la Priorità 5, di circa 329 milioni per la Priorità 3 (ovvero il 40% del totale previsto per la Focus Area 3B </w:t>
      </w:r>
      <w:r>
        <w:rPr>
          <w:rFonts w:ascii="Times New Roman" w:hAnsi="Times New Roman" w:cs="Times New Roman"/>
        </w:rPr>
        <w:t>“</w:t>
      </w:r>
      <w:r w:rsidRPr="00A8632E">
        <w:rPr>
          <w:rFonts w:ascii="Times New Roman" w:hAnsi="Times New Roman" w:cs="Times New Roman"/>
          <w:i/>
          <w:iCs/>
        </w:rPr>
        <w:t>Sostenere la prevenzione e la gestione dei rischi aziendali</w:t>
      </w:r>
      <w:r>
        <w:rPr>
          <w:rFonts w:ascii="Times New Roman" w:hAnsi="Times New Roman" w:cs="Times New Roman"/>
        </w:rPr>
        <w:t>”</w:t>
      </w:r>
      <w:r w:rsidRPr="0087500E">
        <w:rPr>
          <w:rFonts w:ascii="Times New Roman" w:hAnsi="Times New Roman" w:cs="Times New Roman"/>
        </w:rPr>
        <w:t xml:space="preserve">) e di circa 292 milioni per la Priorità 6 (risultante dal 40% del totale previsto per la Focus Area 6B </w:t>
      </w:r>
      <w:r>
        <w:rPr>
          <w:rFonts w:ascii="Times New Roman" w:hAnsi="Times New Roman" w:cs="Times New Roman"/>
        </w:rPr>
        <w:t>“</w:t>
      </w:r>
      <w:r w:rsidRPr="00A8632E">
        <w:rPr>
          <w:rFonts w:ascii="Times New Roman" w:hAnsi="Times New Roman" w:cs="Times New Roman"/>
          <w:i/>
          <w:iCs/>
        </w:rPr>
        <w:t>Stimolare lo sviluppo locale nelle zone rurali</w:t>
      </w:r>
      <w:r>
        <w:rPr>
          <w:rFonts w:ascii="Times New Roman" w:hAnsi="Times New Roman" w:cs="Times New Roman"/>
          <w:i/>
          <w:iCs/>
        </w:rPr>
        <w:t>”</w:t>
      </w:r>
      <w:r>
        <w:rPr>
          <w:rFonts w:ascii="Times New Roman" w:hAnsi="Times New Roman" w:cs="Times New Roman"/>
        </w:rPr>
        <w:t>.</w:t>
      </w:r>
    </w:p>
    <w:p w14:paraId="0A371ED3" w14:textId="77777777" w:rsidR="00FB5C0B" w:rsidRPr="0087500E" w:rsidRDefault="00FB5C0B" w:rsidP="00FB5C0B">
      <w:pPr>
        <w:jc w:val="both"/>
        <w:rPr>
          <w:rFonts w:ascii="Times New Roman" w:hAnsi="Times New Roman" w:cs="Times New Roman"/>
        </w:rPr>
      </w:pPr>
      <w:r w:rsidRPr="00A8632E">
        <w:rPr>
          <w:rFonts w:ascii="Times New Roman" w:hAnsi="Times New Roman" w:cs="Times New Roman"/>
          <w:b/>
          <w:bCs/>
        </w:rPr>
        <w:t xml:space="preserve">La priorità 4 dispone del 73% circa delle risorse programmate a livello nazionale per il raggiungimento dell’obiettivo climatico </w:t>
      </w:r>
      <w:r w:rsidRPr="0087500E">
        <w:rPr>
          <w:rFonts w:ascii="Times New Roman" w:hAnsi="Times New Roman" w:cs="Times New Roman"/>
        </w:rPr>
        <w:t>ed ha portato, all’attivazione di undici misure, principalmente i pagamenti agro-climatico-ambientali (M10), agricoltura biologica (M11) e indennità a favore delle zone soggette a vincoli naturali o ad altri vincoli specifici (M13).</w:t>
      </w:r>
    </w:p>
    <w:p w14:paraId="7FA6350D" w14:textId="77777777" w:rsidR="00FB5C0B" w:rsidRPr="0087500E" w:rsidRDefault="00FB5C0B" w:rsidP="00FB5C0B">
      <w:pPr>
        <w:jc w:val="both"/>
        <w:rPr>
          <w:rFonts w:ascii="Times New Roman" w:hAnsi="Times New Roman" w:cs="Times New Roman"/>
        </w:rPr>
      </w:pPr>
      <w:r w:rsidRPr="00A8632E">
        <w:rPr>
          <w:rFonts w:ascii="Times New Roman" w:hAnsi="Times New Roman" w:cs="Times New Roman"/>
          <w:b/>
          <w:bCs/>
        </w:rPr>
        <w:t>La Priorità 5</w:t>
      </w:r>
      <w:r>
        <w:rPr>
          <w:rFonts w:ascii="Times New Roman" w:hAnsi="Times New Roman" w:cs="Times New Roman"/>
        </w:rPr>
        <w:t>, invece,</w:t>
      </w:r>
      <w:r w:rsidRPr="0087500E">
        <w:rPr>
          <w:rFonts w:ascii="Times New Roman" w:hAnsi="Times New Roman" w:cs="Times New Roman"/>
        </w:rPr>
        <w:t xml:space="preserve"> </w:t>
      </w:r>
      <w:r w:rsidRPr="00A8632E">
        <w:rPr>
          <w:rFonts w:ascii="Times New Roman" w:hAnsi="Times New Roman" w:cs="Times New Roman"/>
          <w:b/>
          <w:bCs/>
        </w:rPr>
        <w:t xml:space="preserve">dispone di circa il 14% delle risorse programmate a livello nazionale per il raggiungimento dell’obiettivo climatico </w:t>
      </w:r>
      <w:r w:rsidRPr="0087500E">
        <w:rPr>
          <w:rFonts w:ascii="Times New Roman" w:hAnsi="Times New Roman" w:cs="Times New Roman"/>
        </w:rPr>
        <w:t>ed ha contributo ad attivare undici misure, specialmente gli investimenti in immobilizzazioni materiali (M4) e per investimenti diretti ad accrescere la resilienza e il pregio ambientale, nonché la mitigazione dei potenziali ecosistemi forestali (M8).</w:t>
      </w:r>
    </w:p>
    <w:p w14:paraId="264E40F7" w14:textId="77777777" w:rsidR="00FB5C0B" w:rsidRPr="0087500E" w:rsidRDefault="00FB5C0B" w:rsidP="00FB5C0B">
      <w:pPr>
        <w:jc w:val="both"/>
        <w:rPr>
          <w:rFonts w:ascii="Times New Roman" w:hAnsi="Times New Roman" w:cs="Times New Roman"/>
        </w:rPr>
      </w:pPr>
      <w:r w:rsidRPr="0087500E">
        <w:rPr>
          <w:rFonts w:ascii="Times New Roman" w:hAnsi="Times New Roman" w:cs="Times New Roman"/>
        </w:rPr>
        <w:t>A livello regionale, le prime cinque regioni in termini di risorse destinate all’obiettivo climatico risultano essere la Sicilia, con circa 664 milioni di euro, seguita da Campania (507 milioni), Puglia (438 milioni), Calabria (335 milioni) e Sardegna (273 milioni). Invece, le cinque regioni con meno risorse impegnate in priorità e focus area che contribuiscono all’obiettivo climatico sono la Valle d’Aosta con circa 37 milioni, il Molise (43 milioni), il Friuli-Venezia Giulia (54 milioni), la Liguria (57 milioni) e l’Abruzzo (89 milioni).</w:t>
      </w:r>
    </w:p>
    <w:p w14:paraId="3AEAB9C6" w14:textId="2CF88315" w:rsidR="00FB5C0B" w:rsidRDefault="00FB5C0B" w:rsidP="00FB5C0B">
      <w:pPr>
        <w:jc w:val="both"/>
        <w:rPr>
          <w:rFonts w:ascii="Times New Roman" w:hAnsi="Times New Roman" w:cs="Times New Roman"/>
        </w:rPr>
      </w:pPr>
      <w:r w:rsidRPr="0087500E">
        <w:rPr>
          <w:rFonts w:ascii="Times New Roman" w:hAnsi="Times New Roman" w:cs="Times New Roman"/>
        </w:rPr>
        <w:t>Tale risultato è in parte dipeso dalla necessità, rispetto al passato, di maggiori capacità di programmazione strategica, di interdisciplinarietà e, anche, di acquisire competenze nuove da parte di chi programma e di chi beneficia dei sostegni.</w:t>
      </w:r>
    </w:p>
    <w:p w14:paraId="42C15467" w14:textId="77777777" w:rsidR="00FB5C0B" w:rsidRPr="0087500E" w:rsidRDefault="00FB5C0B" w:rsidP="00FB5C0B">
      <w:pPr>
        <w:jc w:val="both"/>
        <w:rPr>
          <w:rFonts w:ascii="Times New Roman" w:hAnsi="Times New Roman" w:cs="Times New Roman"/>
          <w:u w:val="single"/>
        </w:rPr>
      </w:pPr>
      <w:r w:rsidRPr="0087500E">
        <w:rPr>
          <w:rFonts w:ascii="Times New Roman" w:hAnsi="Times New Roman" w:cs="Times New Roman"/>
          <w:u w:val="single"/>
        </w:rPr>
        <w:t>La PAC post 2020</w:t>
      </w:r>
    </w:p>
    <w:p w14:paraId="0DCFC0AC" w14:textId="77777777" w:rsidR="00FB5C0B" w:rsidRPr="00006D7C" w:rsidRDefault="00FB5C0B" w:rsidP="00FB5C0B">
      <w:pPr>
        <w:spacing w:after="0" w:line="240" w:lineRule="auto"/>
        <w:jc w:val="both"/>
        <w:rPr>
          <w:rFonts w:ascii="Times New Roman" w:hAnsi="Times New Roman" w:cs="Times New Roman"/>
          <w:b/>
          <w:bCs/>
        </w:rPr>
      </w:pPr>
      <w:r w:rsidRPr="00006D7C">
        <w:rPr>
          <w:rFonts w:ascii="Times New Roman" w:hAnsi="Times New Roman" w:cs="Times New Roman"/>
          <w:b/>
          <w:bCs/>
        </w:rPr>
        <w:t>La futura politica agricola sarà tenuta a svolgere un ruolo di primo piano per incrementare la sostenibilità del settore agricolo</w:t>
      </w:r>
      <w:r w:rsidRPr="0087500E">
        <w:rPr>
          <w:rFonts w:ascii="Times New Roman" w:hAnsi="Times New Roman" w:cs="Times New Roman"/>
        </w:rPr>
        <w:t xml:space="preserve">, attraverso una serie di strumenti che, contestualmente allo sviluppo sociale delle aree rurali e alla competitività delle aziende agricole, siano in grado di contribuire, tutti insieme e in modo sinergico e coordinato al raggiungimento degli obiettivi ambientali e climatici. Infatti, </w:t>
      </w:r>
      <w:r w:rsidRPr="00006D7C">
        <w:rPr>
          <w:rFonts w:ascii="Times New Roman" w:hAnsi="Times New Roman" w:cs="Times New Roman"/>
          <w:b/>
          <w:bCs/>
        </w:rPr>
        <w:t xml:space="preserve">occorre consolidare il ruolo di custode dell’ambiente da parte dell’agricoltura nel perseguimento degli obiettivi dell’Accordo di Parigi e dell’Agenda ONU 2030 per lo sviluppo sostenibile. </w:t>
      </w:r>
    </w:p>
    <w:p w14:paraId="761F445F" w14:textId="77777777" w:rsidR="00FB5C0B" w:rsidRPr="0087500E" w:rsidRDefault="00FB5C0B" w:rsidP="00FB5C0B">
      <w:pPr>
        <w:spacing w:after="0" w:line="240" w:lineRule="auto"/>
        <w:jc w:val="both"/>
        <w:rPr>
          <w:rFonts w:ascii="Times New Roman" w:hAnsi="Times New Roman" w:cs="Times New Roman"/>
        </w:rPr>
      </w:pPr>
    </w:p>
    <w:p w14:paraId="5D4956FA" w14:textId="54C99844" w:rsidR="00FB5C0B" w:rsidRDefault="00FB5C0B" w:rsidP="00D90CD3">
      <w:pPr>
        <w:jc w:val="both"/>
        <w:rPr>
          <w:rFonts w:ascii="Times New Roman" w:hAnsi="Times New Roman" w:cs="Times New Roman"/>
        </w:rPr>
      </w:pPr>
      <w:r w:rsidRPr="0087500E">
        <w:rPr>
          <w:rFonts w:ascii="Times New Roman" w:hAnsi="Times New Roman" w:cs="Times New Roman"/>
        </w:rPr>
        <w:lastRenderedPageBreak/>
        <w:t>La “</w:t>
      </w:r>
      <w:r w:rsidRPr="00006D7C">
        <w:rPr>
          <w:rFonts w:ascii="Times New Roman" w:hAnsi="Times New Roman" w:cs="Times New Roman"/>
          <w:i/>
          <w:iCs/>
        </w:rPr>
        <w:t>nuova architettura verde</w:t>
      </w:r>
      <w:r w:rsidRPr="0087500E">
        <w:rPr>
          <w:rFonts w:ascii="Times New Roman" w:hAnsi="Times New Roman" w:cs="Times New Roman"/>
        </w:rPr>
        <w:t xml:space="preserve">” </w:t>
      </w:r>
      <w:r>
        <w:rPr>
          <w:rFonts w:ascii="Times New Roman" w:hAnsi="Times New Roman" w:cs="Times New Roman"/>
        </w:rPr>
        <w:t xml:space="preserve">della PAC post 2002 </w:t>
      </w:r>
      <w:r w:rsidRPr="0087500E">
        <w:rPr>
          <w:rFonts w:ascii="Times New Roman" w:hAnsi="Times New Roman" w:cs="Times New Roman"/>
        </w:rPr>
        <w:t xml:space="preserve">si basa su tre distinte componenti, fra di loro sinergiche e complementari che, insieme, hanno l’obiettivo di innalzare il livello complessivo di ambizione ambientale. </w:t>
      </w:r>
    </w:p>
    <w:p w14:paraId="0EE92BE7" w14:textId="59E5BB25" w:rsidR="00FB5C0B" w:rsidRPr="0087500E" w:rsidRDefault="00FB5C0B" w:rsidP="00FB5C0B">
      <w:pPr>
        <w:jc w:val="center"/>
        <w:rPr>
          <w:rFonts w:ascii="Times New Roman" w:hAnsi="Times New Roman" w:cs="Times New Roman"/>
        </w:rPr>
      </w:pPr>
      <w:r w:rsidRPr="0087500E">
        <w:rPr>
          <w:rFonts w:ascii="Times New Roman" w:hAnsi="Times New Roman" w:cs="Times New Roman"/>
        </w:rPr>
        <w:t>Tali componenti sono:</w:t>
      </w:r>
    </w:p>
    <w:p w14:paraId="2245F976" w14:textId="77777777" w:rsidR="00FB5C0B" w:rsidRPr="00006D7C" w:rsidRDefault="00FB5C0B" w:rsidP="00FB5C0B">
      <w:pPr>
        <w:pStyle w:val="Paragrafoelenco"/>
        <w:numPr>
          <w:ilvl w:val="0"/>
          <w:numId w:val="3"/>
        </w:numPr>
        <w:jc w:val="both"/>
        <w:rPr>
          <w:rFonts w:ascii="Times New Roman" w:hAnsi="Times New Roman" w:cs="Times New Roman"/>
        </w:rPr>
      </w:pPr>
      <w:r w:rsidRPr="00006D7C">
        <w:rPr>
          <w:rFonts w:ascii="Times New Roman" w:hAnsi="Times New Roman" w:cs="Times New Roman"/>
          <w:b/>
          <w:bCs/>
        </w:rPr>
        <w:t>la condizionalità rivisitata e rafforzata</w:t>
      </w:r>
      <w:r w:rsidRPr="00006D7C">
        <w:rPr>
          <w:rFonts w:ascii="Times New Roman" w:hAnsi="Times New Roman" w:cs="Times New Roman"/>
        </w:rPr>
        <w:t xml:space="preserve"> rispetto a quella attualmente in vigore, che include anche gli attuali impegni previsti dal </w:t>
      </w:r>
      <w:proofErr w:type="spellStart"/>
      <w:r w:rsidRPr="00006D7C">
        <w:rPr>
          <w:rFonts w:ascii="Times New Roman" w:hAnsi="Times New Roman" w:cs="Times New Roman"/>
        </w:rPr>
        <w:t>greening</w:t>
      </w:r>
      <w:proofErr w:type="spellEnd"/>
      <w:r w:rsidRPr="00006D7C">
        <w:rPr>
          <w:rFonts w:ascii="Times New Roman" w:hAnsi="Times New Roman" w:cs="Times New Roman"/>
        </w:rPr>
        <w:t xml:space="preserve">. Il </w:t>
      </w:r>
      <w:proofErr w:type="spellStart"/>
      <w:r w:rsidRPr="00006D7C">
        <w:rPr>
          <w:rFonts w:ascii="Times New Roman" w:hAnsi="Times New Roman" w:cs="Times New Roman"/>
        </w:rPr>
        <w:t>greening</w:t>
      </w:r>
      <w:proofErr w:type="spellEnd"/>
      <w:r>
        <w:rPr>
          <w:rFonts w:ascii="Times New Roman" w:hAnsi="Times New Roman" w:cs="Times New Roman"/>
        </w:rPr>
        <w:t>, infatti,</w:t>
      </w:r>
      <w:r w:rsidRPr="00006D7C">
        <w:rPr>
          <w:rFonts w:ascii="Times New Roman" w:hAnsi="Times New Roman" w:cs="Times New Roman"/>
        </w:rPr>
        <w:t xml:space="preserve"> </w:t>
      </w:r>
      <w:r>
        <w:rPr>
          <w:rFonts w:ascii="Times New Roman" w:hAnsi="Times New Roman" w:cs="Times New Roman"/>
        </w:rPr>
        <w:t>viene eliminato poiché</w:t>
      </w:r>
      <w:r w:rsidRPr="00006D7C">
        <w:rPr>
          <w:rFonts w:ascii="Times New Roman" w:hAnsi="Times New Roman" w:cs="Times New Roman"/>
        </w:rPr>
        <w:t xml:space="preserve"> </w:t>
      </w:r>
      <w:r>
        <w:rPr>
          <w:rFonts w:ascii="Times New Roman" w:hAnsi="Times New Roman" w:cs="Times New Roman"/>
        </w:rPr>
        <w:t xml:space="preserve">non aveva sortito gli effetti desiderati in termini di ambiente e clima. I requisiti del </w:t>
      </w:r>
      <w:proofErr w:type="spellStart"/>
      <w:r>
        <w:rPr>
          <w:rFonts w:ascii="Times New Roman" w:hAnsi="Times New Roman" w:cs="Times New Roman"/>
        </w:rPr>
        <w:t>greening</w:t>
      </w:r>
      <w:proofErr w:type="spellEnd"/>
      <w:r>
        <w:rPr>
          <w:rFonts w:ascii="Times New Roman" w:hAnsi="Times New Roman" w:cs="Times New Roman"/>
        </w:rPr>
        <w:t>, in realtà, rappresentano delle buone pratiche già attuate dalla maggior parte degli agricoltori</w:t>
      </w:r>
      <w:r w:rsidRPr="00006D7C">
        <w:rPr>
          <w:rFonts w:ascii="Times New Roman" w:hAnsi="Times New Roman" w:cs="Times New Roman"/>
        </w:rPr>
        <w:t>;</w:t>
      </w:r>
    </w:p>
    <w:p w14:paraId="717FF4B6" w14:textId="77777777" w:rsidR="00FB5C0B" w:rsidRPr="00006D7C" w:rsidRDefault="00FB5C0B" w:rsidP="00FB5C0B">
      <w:pPr>
        <w:pStyle w:val="Paragrafoelenco"/>
        <w:numPr>
          <w:ilvl w:val="0"/>
          <w:numId w:val="3"/>
        </w:numPr>
        <w:jc w:val="both"/>
        <w:rPr>
          <w:rFonts w:ascii="Times New Roman" w:hAnsi="Times New Roman" w:cs="Times New Roman"/>
        </w:rPr>
      </w:pPr>
      <w:r w:rsidRPr="00006D7C">
        <w:rPr>
          <w:rFonts w:ascii="Times New Roman" w:hAnsi="Times New Roman" w:cs="Times New Roman"/>
          <w:b/>
          <w:bCs/>
        </w:rPr>
        <w:t>l’introduzione di un</w:t>
      </w:r>
      <w:r w:rsidRPr="00006D7C">
        <w:rPr>
          <w:rFonts w:ascii="Times New Roman" w:hAnsi="Times New Roman" w:cs="Times New Roman"/>
        </w:rPr>
        <w:t xml:space="preserve"> </w:t>
      </w:r>
      <w:r w:rsidRPr="00006D7C">
        <w:rPr>
          <w:rFonts w:ascii="Times New Roman" w:hAnsi="Times New Roman" w:cs="Times New Roman"/>
          <w:b/>
          <w:bCs/>
        </w:rPr>
        <w:t>regime ecologico o “</w:t>
      </w:r>
      <w:proofErr w:type="spellStart"/>
      <w:r w:rsidRPr="00006D7C">
        <w:rPr>
          <w:rFonts w:ascii="Times New Roman" w:hAnsi="Times New Roman" w:cs="Times New Roman"/>
          <w:b/>
          <w:bCs/>
          <w:i/>
          <w:iCs/>
        </w:rPr>
        <w:t>ecoschema</w:t>
      </w:r>
      <w:proofErr w:type="spellEnd"/>
      <w:r w:rsidRPr="00006D7C">
        <w:rPr>
          <w:rFonts w:ascii="Times New Roman" w:hAnsi="Times New Roman" w:cs="Times New Roman"/>
          <w:b/>
          <w:bCs/>
        </w:rPr>
        <w:t>”</w:t>
      </w:r>
      <w:r w:rsidRPr="00006D7C">
        <w:rPr>
          <w:rFonts w:ascii="Times New Roman" w:hAnsi="Times New Roman" w:cs="Times New Roman"/>
        </w:rPr>
        <w:t xml:space="preserve"> come componente dei pagamenti diretti la cui attivazione è obbligatoria da parte degli Stati membri e il cui utilizzo è facoltativo per i singoli agricoltori. Il regime ecologico deve rispettare alcuni requisiti, ovvero deve andare oltre i criteri della condizionalità, andare oltre i requisiti minimi previsti per l’utilizzo dei fertilizzanti, dei prodotti fitosanitari e delle regole sul benessere degli animali ed essere differenti rispetto agli impegni agroambientali del PSR e fungere per questi ultimi eventualmente da “livello base” di impegno;</w:t>
      </w:r>
    </w:p>
    <w:p w14:paraId="13AABE43" w14:textId="0A0A83EC" w:rsidR="00FB5C0B" w:rsidRPr="00FB5C0B" w:rsidRDefault="00FB5C0B" w:rsidP="00FB5C0B">
      <w:pPr>
        <w:pStyle w:val="Paragrafoelenco"/>
        <w:numPr>
          <w:ilvl w:val="0"/>
          <w:numId w:val="3"/>
        </w:numPr>
        <w:jc w:val="both"/>
        <w:rPr>
          <w:rFonts w:ascii="Times New Roman" w:hAnsi="Times New Roman" w:cs="Times New Roman"/>
        </w:rPr>
      </w:pPr>
      <w:r w:rsidRPr="00006D7C">
        <w:rPr>
          <w:rFonts w:ascii="Times New Roman" w:hAnsi="Times New Roman" w:cs="Times New Roman"/>
        </w:rPr>
        <w:t xml:space="preserve">le </w:t>
      </w:r>
      <w:r w:rsidRPr="00006D7C">
        <w:rPr>
          <w:rFonts w:ascii="Times New Roman" w:hAnsi="Times New Roman" w:cs="Times New Roman"/>
          <w:b/>
          <w:bCs/>
        </w:rPr>
        <w:t xml:space="preserve">misure agro - climatico - ambientali </w:t>
      </w:r>
      <w:r w:rsidRPr="00006D7C">
        <w:rPr>
          <w:rFonts w:ascii="Times New Roman" w:hAnsi="Times New Roman" w:cs="Times New Roman"/>
        </w:rPr>
        <w:t>nell'ambito dello sviluppo rurale.</w:t>
      </w:r>
    </w:p>
    <w:p w14:paraId="492598BE" w14:textId="77777777" w:rsidR="00FB5C0B" w:rsidRPr="00AA6B2B" w:rsidRDefault="00FB5C0B" w:rsidP="00FB5C0B">
      <w:pPr>
        <w:jc w:val="both"/>
        <w:rPr>
          <w:rFonts w:ascii="Times New Roman" w:hAnsi="Times New Roman" w:cs="Times New Roman"/>
          <w:u w:val="single"/>
        </w:rPr>
      </w:pPr>
    </w:p>
    <w:p w14:paraId="524C3196" w14:textId="77777777" w:rsidR="0049481E" w:rsidRDefault="0049481E"/>
    <w:sectPr w:rsidR="0049481E" w:rsidSect="00191167">
      <w:footerReference w:type="default" r:id="rId7"/>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18C6BB" w14:textId="77777777" w:rsidR="00D477CE" w:rsidRDefault="00D477CE" w:rsidP="00FB5C0B">
      <w:pPr>
        <w:spacing w:after="0" w:line="240" w:lineRule="auto"/>
      </w:pPr>
      <w:r>
        <w:separator/>
      </w:r>
    </w:p>
  </w:endnote>
  <w:endnote w:type="continuationSeparator" w:id="0">
    <w:p w14:paraId="03D36CB8" w14:textId="77777777" w:rsidR="00D477CE" w:rsidRDefault="00D477CE" w:rsidP="00FB5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CCD74" w14:textId="7558C75E" w:rsidR="00FB5C0B" w:rsidRDefault="00FB5C0B">
    <w:pPr>
      <w:pStyle w:val="Pidipagina"/>
    </w:pPr>
    <w:r>
      <w:t>IF</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C677DD" w14:textId="77777777" w:rsidR="00D477CE" w:rsidRDefault="00D477CE" w:rsidP="00FB5C0B">
      <w:pPr>
        <w:spacing w:after="0" w:line="240" w:lineRule="auto"/>
      </w:pPr>
      <w:r>
        <w:separator/>
      </w:r>
    </w:p>
  </w:footnote>
  <w:footnote w:type="continuationSeparator" w:id="0">
    <w:p w14:paraId="7770742F" w14:textId="77777777" w:rsidR="00D477CE" w:rsidRDefault="00D477CE" w:rsidP="00FB5C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C5603"/>
    <w:multiLevelType w:val="hybridMultilevel"/>
    <w:tmpl w:val="FF5AD68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E4F4C13"/>
    <w:multiLevelType w:val="hybridMultilevel"/>
    <w:tmpl w:val="74BE1A0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44564B8D"/>
    <w:multiLevelType w:val="hybridMultilevel"/>
    <w:tmpl w:val="9D5659AE"/>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72504903"/>
    <w:multiLevelType w:val="hybridMultilevel"/>
    <w:tmpl w:val="5BBA8B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C0B"/>
    <w:rsid w:val="0005703C"/>
    <w:rsid w:val="00181BE4"/>
    <w:rsid w:val="00191167"/>
    <w:rsid w:val="0049481E"/>
    <w:rsid w:val="008A2143"/>
    <w:rsid w:val="00A11410"/>
    <w:rsid w:val="00D477CE"/>
    <w:rsid w:val="00D90CD3"/>
    <w:rsid w:val="00FB5C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71256"/>
  <w15:chartTrackingRefBased/>
  <w15:docId w15:val="{5FDC6C44-DA26-F840-88E4-AEC68A294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B5C0B"/>
    <w:pPr>
      <w:spacing w:after="160" w:line="259"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B5C0B"/>
    <w:pPr>
      <w:ind w:left="720"/>
      <w:contextualSpacing/>
    </w:pPr>
  </w:style>
  <w:style w:type="paragraph" w:styleId="Intestazione">
    <w:name w:val="header"/>
    <w:basedOn w:val="Normale"/>
    <w:link w:val="IntestazioneCarattere"/>
    <w:uiPriority w:val="99"/>
    <w:unhideWhenUsed/>
    <w:rsid w:val="00FB5C0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B5C0B"/>
    <w:rPr>
      <w:sz w:val="22"/>
      <w:szCs w:val="22"/>
    </w:rPr>
  </w:style>
  <w:style w:type="paragraph" w:styleId="Pidipagina">
    <w:name w:val="footer"/>
    <w:basedOn w:val="Normale"/>
    <w:link w:val="PidipaginaCarattere"/>
    <w:uiPriority w:val="99"/>
    <w:unhideWhenUsed/>
    <w:rsid w:val="00FB5C0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B5C0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2011</Words>
  <Characters>11468</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ilaria falconi</dc:creator>
  <cp:keywords/>
  <dc:description/>
  <cp:lastModifiedBy>Toscano Angela</cp:lastModifiedBy>
  <cp:revision>2</cp:revision>
  <dcterms:created xsi:type="dcterms:W3CDTF">2021-04-08T14:23:00Z</dcterms:created>
  <dcterms:modified xsi:type="dcterms:W3CDTF">2021-04-08T14:23:00Z</dcterms:modified>
</cp:coreProperties>
</file>